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FD" w:rsidRPr="008758FD" w:rsidRDefault="008758FD" w:rsidP="00AD4D56">
      <w:pPr>
        <w:jc w:val="center"/>
        <w:rPr>
          <w:b/>
          <w:sz w:val="28"/>
          <w:szCs w:val="28"/>
        </w:rPr>
      </w:pPr>
      <w:bookmarkStart w:id="0" w:name="_GoBack"/>
      <w:bookmarkEnd w:id="0"/>
      <w:r>
        <w:rPr>
          <w:b/>
          <w:sz w:val="28"/>
          <w:szCs w:val="28"/>
        </w:rPr>
        <w:t xml:space="preserve">BILJEŠKE UZ FINANCIJSKE IZVJEŠTAJE </w:t>
      </w:r>
      <w:r w:rsidRPr="008758FD">
        <w:rPr>
          <w:b/>
          <w:sz w:val="28"/>
          <w:szCs w:val="28"/>
        </w:rPr>
        <w:t>ZA RAZDOBLJE</w:t>
      </w:r>
    </w:p>
    <w:p w:rsidR="008758FD" w:rsidRDefault="008758FD" w:rsidP="00AD4D56">
      <w:pPr>
        <w:jc w:val="center"/>
        <w:rPr>
          <w:b/>
          <w:sz w:val="28"/>
          <w:szCs w:val="28"/>
        </w:rPr>
      </w:pPr>
      <w:r w:rsidRPr="008758FD">
        <w:rPr>
          <w:b/>
          <w:sz w:val="28"/>
          <w:szCs w:val="28"/>
        </w:rPr>
        <w:t xml:space="preserve">od </w:t>
      </w:r>
      <w:r w:rsidR="000F2605">
        <w:rPr>
          <w:b/>
          <w:sz w:val="28"/>
          <w:szCs w:val="28"/>
        </w:rPr>
        <w:t>1. siječnja do 31. prosinca 202</w:t>
      </w:r>
      <w:r w:rsidR="00216805">
        <w:rPr>
          <w:b/>
          <w:sz w:val="28"/>
          <w:szCs w:val="28"/>
        </w:rPr>
        <w:t>2</w:t>
      </w:r>
      <w:r w:rsidRPr="008758FD">
        <w:rPr>
          <w:b/>
          <w:sz w:val="28"/>
          <w:szCs w:val="28"/>
        </w:rPr>
        <w:t>. godine</w:t>
      </w:r>
    </w:p>
    <w:p w:rsidR="008758FD" w:rsidRPr="008758FD" w:rsidRDefault="008758FD" w:rsidP="008758FD">
      <w:pPr>
        <w:jc w:val="center"/>
        <w:rPr>
          <w:b/>
          <w:sz w:val="28"/>
          <w:szCs w:val="28"/>
        </w:rPr>
      </w:pPr>
    </w:p>
    <w:p w:rsidR="008758FD" w:rsidRDefault="008758FD" w:rsidP="00F3093A">
      <w:pPr>
        <w:rPr>
          <w:b/>
          <w:sz w:val="28"/>
          <w:szCs w:val="28"/>
        </w:rPr>
      </w:pPr>
    </w:p>
    <w:p w:rsidR="00947274" w:rsidRPr="009B27EB" w:rsidRDefault="008758FD" w:rsidP="008413F0">
      <w:pPr>
        <w:jc w:val="both"/>
        <w:rPr>
          <w:sz w:val="28"/>
          <w:szCs w:val="28"/>
        </w:rPr>
      </w:pPr>
      <w:r w:rsidRPr="009B27EB">
        <w:rPr>
          <w:sz w:val="28"/>
          <w:szCs w:val="28"/>
        </w:rPr>
        <w:t>O</w:t>
      </w:r>
      <w:r w:rsidR="00A42293" w:rsidRPr="009B27EB">
        <w:rPr>
          <w:sz w:val="28"/>
          <w:szCs w:val="28"/>
        </w:rPr>
        <w:t>SNOVNA ŠKOLA 22. LIPNJA</w:t>
      </w:r>
    </w:p>
    <w:p w:rsidR="006A5E2C" w:rsidRPr="006A5E2C" w:rsidRDefault="000429BB" w:rsidP="008413F0">
      <w:pPr>
        <w:jc w:val="both"/>
        <w:rPr>
          <w:sz w:val="28"/>
          <w:szCs w:val="28"/>
        </w:rPr>
      </w:pPr>
      <w:r>
        <w:rPr>
          <w:sz w:val="28"/>
          <w:szCs w:val="28"/>
        </w:rPr>
        <w:t>SISAK 44</w:t>
      </w:r>
      <w:r w:rsidR="006A5E2C">
        <w:rPr>
          <w:sz w:val="28"/>
          <w:szCs w:val="28"/>
        </w:rPr>
        <w:t xml:space="preserve">000, FRANJE LOVRIĆA 27 </w:t>
      </w:r>
    </w:p>
    <w:p w:rsidR="00A42293" w:rsidRPr="008758FD" w:rsidRDefault="008309D9" w:rsidP="008413F0">
      <w:pPr>
        <w:jc w:val="both"/>
        <w:rPr>
          <w:sz w:val="28"/>
          <w:szCs w:val="28"/>
        </w:rPr>
      </w:pPr>
      <w:r w:rsidRPr="008758FD">
        <w:rPr>
          <w:sz w:val="28"/>
          <w:szCs w:val="28"/>
        </w:rPr>
        <w:t>OIB</w:t>
      </w:r>
      <w:r w:rsidR="00A42293" w:rsidRPr="008758FD">
        <w:rPr>
          <w:sz w:val="28"/>
          <w:szCs w:val="28"/>
        </w:rPr>
        <w:t>: 16018390550</w:t>
      </w:r>
    </w:p>
    <w:p w:rsidR="0035669B" w:rsidRPr="008758FD" w:rsidRDefault="0035669B" w:rsidP="008413F0">
      <w:pPr>
        <w:jc w:val="both"/>
        <w:rPr>
          <w:sz w:val="28"/>
          <w:szCs w:val="28"/>
        </w:rPr>
      </w:pPr>
      <w:r w:rsidRPr="008758FD">
        <w:rPr>
          <w:sz w:val="28"/>
          <w:szCs w:val="28"/>
        </w:rPr>
        <w:t>Matični broj: 03313646</w:t>
      </w:r>
    </w:p>
    <w:p w:rsidR="00A42293" w:rsidRPr="008758FD" w:rsidRDefault="00190A13" w:rsidP="008413F0">
      <w:pPr>
        <w:jc w:val="both"/>
        <w:rPr>
          <w:sz w:val="28"/>
          <w:szCs w:val="28"/>
        </w:rPr>
      </w:pPr>
      <w:r w:rsidRPr="008758FD">
        <w:rPr>
          <w:sz w:val="28"/>
          <w:szCs w:val="28"/>
        </w:rPr>
        <w:t>RKP: 11620</w:t>
      </w:r>
    </w:p>
    <w:p w:rsidR="00190A13" w:rsidRPr="008758FD" w:rsidRDefault="00190A13" w:rsidP="008413F0">
      <w:pPr>
        <w:jc w:val="both"/>
        <w:rPr>
          <w:sz w:val="28"/>
          <w:szCs w:val="28"/>
        </w:rPr>
      </w:pPr>
      <w:r w:rsidRPr="008758FD">
        <w:rPr>
          <w:sz w:val="28"/>
          <w:szCs w:val="28"/>
        </w:rPr>
        <w:t>Razina: 31</w:t>
      </w:r>
    </w:p>
    <w:p w:rsidR="00190A13" w:rsidRPr="0022362A" w:rsidRDefault="00190A13" w:rsidP="008413F0">
      <w:pPr>
        <w:jc w:val="both"/>
        <w:rPr>
          <w:sz w:val="28"/>
          <w:szCs w:val="28"/>
        </w:rPr>
      </w:pPr>
      <w:r w:rsidRPr="0022362A">
        <w:rPr>
          <w:sz w:val="28"/>
          <w:szCs w:val="28"/>
        </w:rPr>
        <w:t xml:space="preserve">Djelatnost: 8520 </w:t>
      </w:r>
      <w:r w:rsidR="0022362A" w:rsidRPr="0022362A">
        <w:rPr>
          <w:sz w:val="28"/>
          <w:szCs w:val="28"/>
        </w:rPr>
        <w:t>– OSNOV</w:t>
      </w:r>
      <w:r w:rsidR="00FE133D">
        <w:rPr>
          <w:sz w:val="28"/>
          <w:szCs w:val="28"/>
        </w:rPr>
        <w:t>N</w:t>
      </w:r>
      <w:r w:rsidR="0022362A" w:rsidRPr="0022362A">
        <w:rPr>
          <w:sz w:val="28"/>
          <w:szCs w:val="28"/>
        </w:rPr>
        <w:t>O OBRAZOVANJE</w:t>
      </w:r>
    </w:p>
    <w:p w:rsidR="0015581B" w:rsidRDefault="0022362A" w:rsidP="008413F0">
      <w:pPr>
        <w:jc w:val="both"/>
        <w:rPr>
          <w:sz w:val="28"/>
          <w:szCs w:val="28"/>
        </w:rPr>
      </w:pPr>
      <w:r w:rsidRPr="0022362A">
        <w:rPr>
          <w:sz w:val="28"/>
          <w:szCs w:val="28"/>
        </w:rPr>
        <w:t>ŽIRO RAČUN: HR7924070001839100007</w:t>
      </w:r>
    </w:p>
    <w:p w:rsidR="009F51DB" w:rsidRDefault="009F51DB" w:rsidP="008413F0">
      <w:pPr>
        <w:jc w:val="both"/>
        <w:rPr>
          <w:sz w:val="28"/>
          <w:szCs w:val="28"/>
        </w:rPr>
      </w:pPr>
      <w:r>
        <w:rPr>
          <w:sz w:val="28"/>
          <w:szCs w:val="28"/>
        </w:rPr>
        <w:t>Šifra županije:</w:t>
      </w:r>
      <w:r w:rsidR="0045420C">
        <w:rPr>
          <w:sz w:val="28"/>
          <w:szCs w:val="28"/>
        </w:rPr>
        <w:t xml:space="preserve"> III – Sisačko-moslavačka</w:t>
      </w:r>
    </w:p>
    <w:p w:rsidR="009F51DB" w:rsidRPr="0022362A" w:rsidRDefault="009F51DB" w:rsidP="008413F0">
      <w:pPr>
        <w:jc w:val="both"/>
        <w:rPr>
          <w:sz w:val="28"/>
          <w:szCs w:val="28"/>
        </w:rPr>
      </w:pPr>
      <w:r>
        <w:rPr>
          <w:sz w:val="28"/>
          <w:szCs w:val="28"/>
        </w:rPr>
        <w:t>Šifra grada:</w:t>
      </w:r>
      <w:r w:rsidR="0045420C">
        <w:rPr>
          <w:sz w:val="28"/>
          <w:szCs w:val="28"/>
        </w:rPr>
        <w:t xml:space="preserve"> 391 - Sisak</w:t>
      </w:r>
    </w:p>
    <w:p w:rsidR="002E4EA5" w:rsidRDefault="002E4EA5" w:rsidP="008413F0">
      <w:pPr>
        <w:jc w:val="both"/>
      </w:pPr>
    </w:p>
    <w:p w:rsidR="0035669B" w:rsidRDefault="0035669B" w:rsidP="00BC2E1A">
      <w:pPr>
        <w:jc w:val="both"/>
      </w:pPr>
      <w:r>
        <w:t>Osnovna škola 22. lipnja, Sisak posluje u skladu sa Zakonom o odgoju i obrazovanju</w:t>
      </w:r>
    </w:p>
    <w:p w:rsidR="0035669B" w:rsidRDefault="0035669B" w:rsidP="00BC2E1A">
      <w:pPr>
        <w:jc w:val="both"/>
      </w:pPr>
      <w:r>
        <w:t xml:space="preserve">u osnovnoj školi te Statutom škole. </w:t>
      </w:r>
      <w:r w:rsidR="00FE133D">
        <w:t xml:space="preserve">Vodi proračunsko računovodstvo </w:t>
      </w:r>
      <w:r>
        <w:t>temeljem Pravilnika</w:t>
      </w:r>
    </w:p>
    <w:p w:rsidR="0035669B" w:rsidRDefault="0035669B" w:rsidP="00BC2E1A">
      <w:pPr>
        <w:jc w:val="both"/>
      </w:pPr>
      <w:r>
        <w:t xml:space="preserve">o proračunskom računovodstvu i Računskom planu, a financijske izvještaje sastavlja i </w:t>
      </w:r>
    </w:p>
    <w:p w:rsidR="0035669B" w:rsidRDefault="0035669B" w:rsidP="00BC2E1A">
      <w:pPr>
        <w:jc w:val="both"/>
      </w:pPr>
      <w:r>
        <w:t xml:space="preserve">predaje u skladu s odredbama Pravilnika o financijskom izvještavanju u proračunskom </w:t>
      </w:r>
    </w:p>
    <w:p w:rsidR="0035669B" w:rsidRDefault="0035669B" w:rsidP="00BC2E1A">
      <w:pPr>
        <w:jc w:val="both"/>
      </w:pPr>
      <w:r>
        <w:t>računovodstvu.</w:t>
      </w:r>
    </w:p>
    <w:p w:rsidR="0035669B" w:rsidRDefault="0035669B" w:rsidP="00F3093A"/>
    <w:p w:rsidR="0035669B" w:rsidRDefault="001A1BE1" w:rsidP="00BC2E1A">
      <w:pPr>
        <w:jc w:val="both"/>
        <w:rPr>
          <w:b/>
        </w:rPr>
      </w:pPr>
      <w:r>
        <w:rPr>
          <w:b/>
        </w:rPr>
        <w:t xml:space="preserve"> </w:t>
      </w:r>
      <w:r w:rsidR="00AB3AF5" w:rsidRPr="00256F5C">
        <w:rPr>
          <w:b/>
          <w:highlight w:val="yellow"/>
        </w:rPr>
        <w:t>BILJEŠKE UZ BILANCU</w:t>
      </w:r>
    </w:p>
    <w:p w:rsidR="00AB3AF5" w:rsidRDefault="009D2335" w:rsidP="0003091C">
      <w:r>
        <w:t xml:space="preserve"> </w:t>
      </w:r>
    </w:p>
    <w:p w:rsidR="005C27EA" w:rsidRDefault="00216805" w:rsidP="00BC2E1A">
      <w:pPr>
        <w:jc w:val="both"/>
        <w:rPr>
          <w:b/>
          <w:u w:val="single"/>
        </w:rPr>
      </w:pPr>
      <w:r>
        <w:rPr>
          <w:b/>
          <w:u w:val="single"/>
        </w:rPr>
        <w:t>Bilješka br. 1 Šifra 129 – Ostala potraživanja</w:t>
      </w:r>
    </w:p>
    <w:p w:rsidR="005C27EA" w:rsidRDefault="005C27EA" w:rsidP="0003091C">
      <w:pPr>
        <w:rPr>
          <w:b/>
          <w:u w:val="single"/>
        </w:rPr>
      </w:pPr>
    </w:p>
    <w:p w:rsidR="007A34C2" w:rsidRPr="00A30F0D" w:rsidRDefault="00216805" w:rsidP="00A24C2F">
      <w:pPr>
        <w:jc w:val="both"/>
      </w:pPr>
      <w:r>
        <w:t>Ova pozicija se prvenstveno odnosi na potraživanja od HZZO-a za bolovanja koja idu na njihov teret.</w:t>
      </w:r>
      <w:r w:rsidR="001C0692">
        <w:t xml:space="preserve"> </w:t>
      </w:r>
      <w:r w:rsidR="007A34C2" w:rsidRPr="00AD47F5">
        <w:rPr>
          <w:color w:val="000000"/>
        </w:rPr>
        <w:t>Iznos troškova  ostalih potraživanja u 2021. godini iznosi 91.900,00 kn, u 2022. 157.248,38 kn, što čini porast 171,1 % zbog evidentiranja istih u toku godine.</w:t>
      </w:r>
    </w:p>
    <w:p w:rsidR="00FE133D" w:rsidRDefault="00FE133D" w:rsidP="00A24C2F">
      <w:pPr>
        <w:jc w:val="both"/>
      </w:pPr>
    </w:p>
    <w:p w:rsidR="00FE133D" w:rsidRPr="00FE133D" w:rsidRDefault="00216805" w:rsidP="00BC2E1A">
      <w:pPr>
        <w:jc w:val="both"/>
        <w:rPr>
          <w:b/>
          <w:u w:val="single"/>
        </w:rPr>
      </w:pPr>
      <w:r>
        <w:rPr>
          <w:b/>
          <w:u w:val="single"/>
        </w:rPr>
        <w:t>Bilješka br. 2 Šifra 165</w:t>
      </w:r>
      <w:r w:rsidR="00FE133D" w:rsidRPr="00FE133D">
        <w:rPr>
          <w:b/>
          <w:u w:val="single"/>
        </w:rPr>
        <w:t xml:space="preserve"> – </w:t>
      </w:r>
      <w:r w:rsidRPr="00216805">
        <w:rPr>
          <w:b/>
          <w:u w:val="single"/>
        </w:rPr>
        <w:t>Potraživanja za upravne i administrativne pristojbe, pristojbe po posebnim propisima i naknade</w:t>
      </w:r>
    </w:p>
    <w:p w:rsidR="00FE133D" w:rsidRDefault="00FE133D" w:rsidP="0003091C"/>
    <w:p w:rsidR="00FE133D" w:rsidRDefault="00216805" w:rsidP="00A24C2F">
      <w:pPr>
        <w:jc w:val="both"/>
      </w:pPr>
      <w:r>
        <w:t xml:space="preserve">Na ovoj poziciji su evidentirana potraživanja od fizičkih osoba za usluge korištenja školske kuhinje i produženog boravka. </w:t>
      </w:r>
    </w:p>
    <w:p w:rsidR="00567E19" w:rsidRPr="00567E19" w:rsidRDefault="00567E19" w:rsidP="00A24C2F">
      <w:pPr>
        <w:jc w:val="both"/>
        <w:rPr>
          <w:color w:val="000000"/>
        </w:rPr>
      </w:pPr>
      <w:r w:rsidRPr="00567E19">
        <w:rPr>
          <w:color w:val="000000"/>
        </w:rPr>
        <w:t>Iznos troškova potraživanja za upravne i administrativne pristojbe, pristojbe po posebnim propisima i naknade u 2021. godini iznosi je 145.400,00 kn, u 2022. 117.869,70 kn, što čini smanjenje 81,1 % jer su poduzete radnje za naplatu potraživanja u smislu slanja obavijesti o dugu više puta tokom godine što je rezultiralo smanjenjem ukupnog potraživanja u odnosu na prošlu godinu.</w:t>
      </w:r>
    </w:p>
    <w:p w:rsidR="005C27EA" w:rsidRPr="00A30F0D" w:rsidRDefault="00567E19" w:rsidP="00BC2E1A">
      <w:pPr>
        <w:jc w:val="both"/>
        <w:rPr>
          <w:rFonts w:ascii="Calibri" w:hAnsi="Calibri" w:cs="Calibri"/>
          <w:color w:val="000000"/>
          <w:sz w:val="22"/>
          <w:szCs w:val="22"/>
        </w:rPr>
      </w:pPr>
      <w:r>
        <w:rPr>
          <w:rFonts w:ascii="Calibri" w:hAnsi="Calibri" w:cs="Calibri"/>
          <w:color w:val="000000"/>
          <w:sz w:val="22"/>
          <w:szCs w:val="22"/>
        </w:rPr>
        <w:t> </w:t>
      </w:r>
    </w:p>
    <w:p w:rsidR="005C27EA" w:rsidRPr="005C27EA" w:rsidRDefault="00CF7E6A" w:rsidP="00BC2E1A">
      <w:pPr>
        <w:jc w:val="both"/>
        <w:rPr>
          <w:b/>
          <w:u w:val="single"/>
        </w:rPr>
      </w:pPr>
      <w:r>
        <w:rPr>
          <w:b/>
          <w:u w:val="single"/>
        </w:rPr>
        <w:t>Bilješka br. 3 Šifra 193</w:t>
      </w:r>
      <w:r w:rsidR="005C27EA" w:rsidRPr="005C27EA">
        <w:rPr>
          <w:b/>
          <w:u w:val="single"/>
        </w:rPr>
        <w:t xml:space="preserve"> –</w:t>
      </w:r>
      <w:r w:rsidRPr="00CF7E6A">
        <w:rPr>
          <w:b/>
          <w:u w:val="single"/>
        </w:rPr>
        <w:t>Kontinuirani rashodi budućih razdoblja</w:t>
      </w:r>
    </w:p>
    <w:p w:rsidR="005C27EA" w:rsidRDefault="005C27EA" w:rsidP="0003091C"/>
    <w:p w:rsidR="005C27EA" w:rsidRPr="003F593F" w:rsidRDefault="00CF7E6A" w:rsidP="00A24C2F">
      <w:pPr>
        <w:jc w:val="both"/>
      </w:pPr>
      <w:r w:rsidRPr="003F593F">
        <w:t>Odnosi se na troškove koji terete 2022. godinu</w:t>
      </w:r>
      <w:r w:rsidR="003F593F" w:rsidRPr="003F593F">
        <w:t xml:space="preserve"> u iznosu od 1.052.816,48 kn</w:t>
      </w:r>
      <w:r w:rsidRPr="003F593F">
        <w:t xml:space="preserve"> ali nisu plaćeni na 31.12.2022. Zbog rasta osnovice plaća i naknade za prijevoz, ta je stavka poveća</w:t>
      </w:r>
      <w:r w:rsidR="003F593F" w:rsidRPr="003F593F">
        <w:t>na 121,9% u odnosu na prethodnu godinu gdje su kontinuirani rashodi budućih razdoblja iznosili 863.587,00 kn.</w:t>
      </w:r>
    </w:p>
    <w:p w:rsidR="00CF7E6A" w:rsidRDefault="00CF7E6A" w:rsidP="00A24C2F">
      <w:pPr>
        <w:jc w:val="both"/>
      </w:pPr>
    </w:p>
    <w:p w:rsidR="00A30F0D" w:rsidRDefault="00A30F0D" w:rsidP="0003091C"/>
    <w:p w:rsidR="00A30F0D" w:rsidRDefault="00A30F0D" w:rsidP="0003091C"/>
    <w:p w:rsidR="00CF7E6A" w:rsidRDefault="00CF7E6A" w:rsidP="00AE5CA0">
      <w:pPr>
        <w:jc w:val="both"/>
        <w:rPr>
          <w:b/>
          <w:u w:val="single"/>
        </w:rPr>
      </w:pPr>
      <w:r w:rsidRPr="00CF7E6A">
        <w:rPr>
          <w:b/>
          <w:u w:val="single"/>
        </w:rPr>
        <w:lastRenderedPageBreak/>
        <w:t xml:space="preserve">Bilješka </w:t>
      </w:r>
      <w:proofErr w:type="spellStart"/>
      <w:r w:rsidRPr="00CF7E6A">
        <w:rPr>
          <w:b/>
          <w:u w:val="single"/>
        </w:rPr>
        <w:t>br</w:t>
      </w:r>
      <w:proofErr w:type="spellEnd"/>
      <w:r w:rsidRPr="00CF7E6A">
        <w:rPr>
          <w:b/>
          <w:u w:val="single"/>
        </w:rPr>
        <w:t>, 4 Šifra 232 - Obveze za materijalne rashode</w:t>
      </w:r>
    </w:p>
    <w:p w:rsidR="003F593F" w:rsidRDefault="003F593F" w:rsidP="00AE5CA0">
      <w:pPr>
        <w:jc w:val="both"/>
        <w:rPr>
          <w:rFonts w:ascii="Calibri" w:hAnsi="Calibri" w:cs="Calibri"/>
          <w:color w:val="000000"/>
          <w:sz w:val="22"/>
          <w:szCs w:val="22"/>
        </w:rPr>
      </w:pPr>
    </w:p>
    <w:p w:rsidR="006C03BF" w:rsidRPr="00B466A8" w:rsidRDefault="003F593F" w:rsidP="00AE5CA0">
      <w:pPr>
        <w:jc w:val="both"/>
      </w:pPr>
      <w:r w:rsidRPr="00B466A8">
        <w:rPr>
          <w:color w:val="000000"/>
        </w:rPr>
        <w:t>Troškovi obveza za materijalne rashode iznose 304.479,75 kn, što čini porast od 173,8% naspram prethodne godine zbog </w:t>
      </w:r>
      <w:r w:rsidR="00CF7E6A" w:rsidRPr="00B466A8">
        <w:t>inflacije, rasle su cijene i usluga, odnosno proizvoda koje su školi potrebne radi redovnog poslovanja.</w:t>
      </w:r>
    </w:p>
    <w:p w:rsidR="00B466A8" w:rsidRPr="003F593F" w:rsidRDefault="00B466A8" w:rsidP="00AE5CA0">
      <w:pPr>
        <w:jc w:val="both"/>
        <w:rPr>
          <w:rFonts w:ascii="Calibri" w:hAnsi="Calibri" w:cs="Calibri"/>
          <w:color w:val="000000"/>
          <w:sz w:val="22"/>
          <w:szCs w:val="22"/>
        </w:rPr>
      </w:pPr>
    </w:p>
    <w:p w:rsidR="00CF7E6A" w:rsidRPr="006C03BF" w:rsidRDefault="00CF7E6A" w:rsidP="00AE5CA0">
      <w:pPr>
        <w:jc w:val="both"/>
      </w:pPr>
      <w:r w:rsidRPr="00CF7E6A">
        <w:rPr>
          <w:b/>
          <w:u w:val="single"/>
        </w:rPr>
        <w:t>Bilješka br. 5 Šifra 239 - Ostale tekuće obveze</w:t>
      </w:r>
    </w:p>
    <w:p w:rsidR="00CF7E6A" w:rsidRDefault="00CF7E6A" w:rsidP="00AE5CA0">
      <w:pPr>
        <w:jc w:val="both"/>
        <w:rPr>
          <w:b/>
          <w:u w:val="single"/>
        </w:rPr>
      </w:pPr>
    </w:p>
    <w:p w:rsidR="00B466A8" w:rsidRPr="00B466A8" w:rsidRDefault="00B466A8" w:rsidP="00AE5CA0">
      <w:pPr>
        <w:jc w:val="both"/>
        <w:rPr>
          <w:color w:val="000000"/>
        </w:rPr>
      </w:pPr>
      <w:r w:rsidRPr="00B466A8">
        <w:rPr>
          <w:color w:val="000000"/>
        </w:rPr>
        <w:t>Iznos troškova ostale tekuće obveze koje se odnose na obveze prema HZZO-u za bolovanje na njihov teret u 2021. godini iznosi 95.205,00 kn, u 2022. 155.583,84 kn, što čini porast 163,4 % zbog evidentiranja istih u toku godine.</w:t>
      </w:r>
    </w:p>
    <w:p w:rsidR="00CF7E6A" w:rsidRDefault="00CF7E6A" w:rsidP="0003091C"/>
    <w:p w:rsidR="00AB3AF5" w:rsidRPr="00994655" w:rsidRDefault="00AB3AF5" w:rsidP="00BC2E1A">
      <w:pPr>
        <w:jc w:val="both"/>
        <w:rPr>
          <w:b/>
          <w:highlight w:val="yellow"/>
        </w:rPr>
      </w:pPr>
      <w:r w:rsidRPr="00994655">
        <w:rPr>
          <w:b/>
          <w:highlight w:val="yellow"/>
        </w:rPr>
        <w:t>BILJEŠKE UZ IZVJEŠTAJ O PRIHODIMA I RASHODIMA, PRIMICIMA I</w:t>
      </w:r>
    </w:p>
    <w:p w:rsidR="00AB3AF5" w:rsidRPr="00994655" w:rsidRDefault="00AB3AF5" w:rsidP="00BC2E1A">
      <w:pPr>
        <w:jc w:val="both"/>
        <w:rPr>
          <w:b/>
        </w:rPr>
      </w:pPr>
      <w:r w:rsidRPr="00994655">
        <w:rPr>
          <w:b/>
          <w:highlight w:val="yellow"/>
        </w:rPr>
        <w:t>IZDACIMA</w:t>
      </w:r>
    </w:p>
    <w:p w:rsidR="00AB3AF5" w:rsidRDefault="00AB3AF5" w:rsidP="0003091C"/>
    <w:p w:rsidR="00892F05" w:rsidRDefault="00892F05" w:rsidP="00AE5CA0">
      <w:pPr>
        <w:jc w:val="both"/>
      </w:pPr>
      <w:r>
        <w:t>U razdoblju 1-12/202</w:t>
      </w:r>
      <w:r w:rsidR="00CF7E6A">
        <w:t>2</w:t>
      </w:r>
      <w:r>
        <w:t>.godine smo ostvarili:</w:t>
      </w:r>
    </w:p>
    <w:p w:rsidR="00892F05" w:rsidRDefault="00892F05" w:rsidP="00AE5CA0">
      <w:pPr>
        <w:jc w:val="both"/>
      </w:pPr>
      <w:r>
        <w:t>Ukupne prihode i primitke (</w:t>
      </w:r>
      <w:r w:rsidR="00CF7E6A">
        <w:rPr>
          <w:b/>
        </w:rPr>
        <w:t>Šifra X678</w:t>
      </w:r>
      <w:r>
        <w:t>) u iznosu od …</w:t>
      </w:r>
      <w:r w:rsidR="00F65648">
        <w:t>…………..</w:t>
      </w:r>
      <w:r>
        <w:t>….</w:t>
      </w:r>
      <w:r w:rsidR="00CF7E6A" w:rsidRPr="00CF7E6A">
        <w:t>13.042.310,59</w:t>
      </w:r>
      <w:r w:rsidR="00CF7E6A">
        <w:t xml:space="preserve"> </w:t>
      </w:r>
      <w:r>
        <w:t>kn</w:t>
      </w:r>
    </w:p>
    <w:p w:rsidR="00892F05" w:rsidRDefault="00892F05" w:rsidP="00AE5CA0">
      <w:pPr>
        <w:jc w:val="both"/>
      </w:pPr>
      <w:r>
        <w:t>Ukupne rashode i izdatke (</w:t>
      </w:r>
      <w:r w:rsidR="00CF7E6A">
        <w:rPr>
          <w:b/>
        </w:rPr>
        <w:t>Šifra X345</w:t>
      </w:r>
      <w:r>
        <w:t>) u iznosu od ……</w:t>
      </w:r>
      <w:r w:rsidR="00F65648">
        <w:t>…………</w:t>
      </w:r>
      <w:r w:rsidR="00FE133D">
        <w:t>….</w:t>
      </w:r>
      <w:r w:rsidR="00CF7E6A" w:rsidRPr="00CF7E6A">
        <w:t>12.955.155,52</w:t>
      </w:r>
      <w:r w:rsidR="00CF7E6A">
        <w:t xml:space="preserve"> </w:t>
      </w:r>
      <w:r>
        <w:t>kn</w:t>
      </w:r>
    </w:p>
    <w:p w:rsidR="00892F05" w:rsidRDefault="00FE133D" w:rsidP="00AE5CA0">
      <w:pPr>
        <w:jc w:val="both"/>
      </w:pPr>
      <w:r>
        <w:t>Višak</w:t>
      </w:r>
      <w:r w:rsidR="00892F05">
        <w:t xml:space="preserve"> prihoda i primitaka (</w:t>
      </w:r>
      <w:r w:rsidR="00333EAC">
        <w:rPr>
          <w:b/>
        </w:rPr>
        <w:t>Šifra X005</w:t>
      </w:r>
      <w:r w:rsidR="00892F05">
        <w:t>) u iznosu……</w:t>
      </w:r>
      <w:r w:rsidR="00F65648">
        <w:t>……………...</w:t>
      </w:r>
      <w:r>
        <w:t>.........</w:t>
      </w:r>
      <w:r w:rsidR="00333EAC">
        <w:t>...</w:t>
      </w:r>
      <w:r w:rsidR="00333EAC" w:rsidRPr="00333EAC">
        <w:t>87.155,07</w:t>
      </w:r>
      <w:r>
        <w:t>kn</w:t>
      </w:r>
    </w:p>
    <w:p w:rsidR="00916DDE" w:rsidRDefault="00333EAC" w:rsidP="00AE5CA0">
      <w:pPr>
        <w:jc w:val="both"/>
      </w:pPr>
      <w:r>
        <w:t>Višak prihoda i primitaka - preneseni (</w:t>
      </w:r>
      <w:r>
        <w:rPr>
          <w:b/>
        </w:rPr>
        <w:t>Šifra 9221-9222</w:t>
      </w:r>
      <w:r>
        <w:t xml:space="preserve">) </w:t>
      </w:r>
      <w:r w:rsidR="00916DDE">
        <w:t>u iznosu od……</w:t>
      </w:r>
      <w:r>
        <w:t>...</w:t>
      </w:r>
      <w:r w:rsidRPr="00333EAC">
        <w:t>84.173,98</w:t>
      </w:r>
      <w:r>
        <w:t xml:space="preserve"> </w:t>
      </w:r>
      <w:r w:rsidR="00FE133D">
        <w:t>kn</w:t>
      </w:r>
    </w:p>
    <w:p w:rsidR="007D5E71" w:rsidRDefault="007D5E71" w:rsidP="00AE5CA0">
      <w:pPr>
        <w:jc w:val="both"/>
      </w:pPr>
    </w:p>
    <w:p w:rsidR="00FE133D" w:rsidRDefault="00FE133D" w:rsidP="0003091C"/>
    <w:p w:rsidR="00B45550" w:rsidRDefault="0029702C" w:rsidP="00BC2E1A">
      <w:pPr>
        <w:jc w:val="both"/>
        <w:rPr>
          <w:b/>
          <w:u w:val="single"/>
        </w:rPr>
      </w:pPr>
      <w:r w:rsidRPr="0029702C">
        <w:rPr>
          <w:b/>
          <w:u w:val="single"/>
        </w:rPr>
        <w:t>Bilješka br. 1 Šifra 6361 - Tekuće pomoći proračunskim korisnicima iz proračuna koji im nije nadležan</w:t>
      </w:r>
    </w:p>
    <w:p w:rsidR="0029702C" w:rsidRDefault="0029702C" w:rsidP="00AB3AF5">
      <w:pPr>
        <w:rPr>
          <w:b/>
          <w:u w:val="single"/>
        </w:rPr>
      </w:pPr>
    </w:p>
    <w:p w:rsidR="00CE5391" w:rsidRPr="000A20CE" w:rsidRDefault="0029702C" w:rsidP="00A24C2F">
      <w:pPr>
        <w:jc w:val="both"/>
      </w:pPr>
      <w:r>
        <w:t>Obuhvaća prihode koji se odnose na plaće financirane iz Ministarstva, prihode za financiranje troškova prijevoza i nastavnih pomagala te sufinanciranje prehrane za učenike s teškoćama u razvoju, prihode od testiranja na COVID-19 i ostale prihode od države.</w:t>
      </w:r>
    </w:p>
    <w:p w:rsidR="0029702C" w:rsidRPr="00CE5391" w:rsidRDefault="00CE5391" w:rsidP="00A24C2F">
      <w:pPr>
        <w:jc w:val="both"/>
        <w:rPr>
          <w:rFonts w:ascii="Calibri" w:hAnsi="Calibri" w:cs="Calibri"/>
          <w:color w:val="000000"/>
          <w:sz w:val="22"/>
          <w:szCs w:val="22"/>
        </w:rPr>
      </w:pPr>
      <w:r w:rsidRPr="000A20CE">
        <w:rPr>
          <w:color w:val="000000"/>
        </w:rPr>
        <w:t>Troškovi  tekuće pomoći proračunskim korisnicima iz proračuna koji im nije nadležan iznose 9.733.008,96 kn, što čini porast od 109,2% naspram prethodne godine. Zbog </w:t>
      </w:r>
      <w:r w:rsidR="0029702C" w:rsidRPr="000A20CE">
        <w:t xml:space="preserve"> povećanja je došlo jer su se povećale plaće zaposlenika zbog rasta osnovice plaće, kao i troškovi prijevoza na posao i s posla.</w:t>
      </w:r>
      <w:r w:rsidR="0029702C">
        <w:t xml:space="preserve"> Također su se povećali prihodi za odjele učenika s teškoćama razvoju zbog veće ugovorene cijene s prijevoznicima u odnosu na prošlu godinu.</w:t>
      </w:r>
    </w:p>
    <w:p w:rsidR="005379F1" w:rsidRDefault="005379F1" w:rsidP="0029702C">
      <w:pPr>
        <w:jc w:val="both"/>
      </w:pPr>
    </w:p>
    <w:p w:rsidR="005379F1" w:rsidRDefault="005379F1" w:rsidP="0029702C">
      <w:pPr>
        <w:jc w:val="both"/>
        <w:rPr>
          <w:b/>
          <w:u w:val="single"/>
        </w:rPr>
      </w:pPr>
      <w:r w:rsidRPr="005379F1">
        <w:rPr>
          <w:b/>
          <w:u w:val="single"/>
        </w:rPr>
        <w:t>Bilješka br. 2 Šifra 6362 - Kapitalne pomoći proračunskim korisnicima iz proračuna koji im nije nadležan</w:t>
      </w:r>
    </w:p>
    <w:p w:rsidR="005379F1" w:rsidRDefault="005379F1" w:rsidP="0029702C">
      <w:pPr>
        <w:jc w:val="both"/>
        <w:rPr>
          <w:b/>
          <w:u w:val="single"/>
        </w:rPr>
      </w:pPr>
    </w:p>
    <w:p w:rsidR="005379F1" w:rsidRDefault="005379F1" w:rsidP="0029702C">
      <w:pPr>
        <w:jc w:val="both"/>
      </w:pPr>
      <w:r>
        <w:t>Do smanjenja prihoda</w:t>
      </w:r>
      <w:r w:rsidR="000A20CE">
        <w:t xml:space="preserve"> u 2022.g </w:t>
      </w:r>
      <w:r>
        <w:t xml:space="preserve"> je došlo zbog manjih prihoda iz državnog proračuna za udžbenike za nastavu</w:t>
      </w:r>
      <w:r w:rsidR="000A20CE">
        <w:t xml:space="preserve"> i iznosili su 81.991,81kn</w:t>
      </w:r>
      <w:r>
        <w:t>. Škola je ove godine naručila manje udžbenika jer je dio iskoristiv iz prošle godine.</w:t>
      </w:r>
    </w:p>
    <w:p w:rsidR="00D232E0" w:rsidRPr="005379F1" w:rsidRDefault="00D232E0" w:rsidP="0029702C">
      <w:pPr>
        <w:jc w:val="both"/>
      </w:pPr>
    </w:p>
    <w:p w:rsidR="00B45550" w:rsidRDefault="00B45550" w:rsidP="00AB3AF5"/>
    <w:p w:rsidR="005379F1" w:rsidRPr="005379F1" w:rsidRDefault="005379F1" w:rsidP="00BC2E1A">
      <w:pPr>
        <w:jc w:val="both"/>
        <w:rPr>
          <w:b/>
          <w:u w:val="single"/>
        </w:rPr>
      </w:pPr>
      <w:r w:rsidRPr="005379F1">
        <w:rPr>
          <w:b/>
          <w:u w:val="single"/>
        </w:rPr>
        <w:t>Bilješka br. 3 Šifra 6381 - Tekuće pomoći temeljem prijenosa  EU sredstava</w:t>
      </w:r>
    </w:p>
    <w:p w:rsidR="005379F1" w:rsidRDefault="005379F1" w:rsidP="00AB3AF5"/>
    <w:p w:rsidR="00910E9F" w:rsidRDefault="00254992" w:rsidP="000429BB">
      <w:pPr>
        <w:jc w:val="both"/>
      </w:pPr>
      <w:r>
        <w:t>Škola je uključena u projekt</w:t>
      </w:r>
      <w:r w:rsidR="001876A3">
        <w:t>e</w:t>
      </w:r>
      <w:r>
        <w:t xml:space="preserve"> EU u suradnji s osnivačem Gradom Siskom </w:t>
      </w:r>
      <w:r w:rsidR="00241915">
        <w:t>pod nazivom Rukom p</w:t>
      </w:r>
      <w:r w:rsidR="00871333">
        <w:t xml:space="preserve">od ruku, Zdravi objed svima te Shema školskog voća, povrća, </w:t>
      </w:r>
      <w:r w:rsidR="00241915">
        <w:t>mlijeka</w:t>
      </w:r>
      <w:r w:rsidR="00871333">
        <w:t xml:space="preserve"> i mliječnih proizvoda</w:t>
      </w:r>
      <w:r w:rsidR="00241915">
        <w:t>.</w:t>
      </w:r>
    </w:p>
    <w:p w:rsidR="005379F1" w:rsidRDefault="005379F1" w:rsidP="000429BB">
      <w:pPr>
        <w:jc w:val="both"/>
      </w:pPr>
      <w:r>
        <w:t xml:space="preserve">Zbog smanjenja prihoda je došlo jer se promijenio način evidentiranja prihoda na projektu Rukom pod ruku. Do ove godine su se prihodi priznavali po plaćanju rashoda, a od početka godine se </w:t>
      </w:r>
      <w:r w:rsidR="001876A3">
        <w:t>pr</w:t>
      </w:r>
      <w:r w:rsidR="00D232E0">
        <w:t>iznaju</w:t>
      </w:r>
      <w:r>
        <w:t xml:space="preserve"> po primitku </w:t>
      </w:r>
      <w:r w:rsidR="001876A3">
        <w:t>EU sredstava na račun Grada, odnosno škole.</w:t>
      </w:r>
      <w:r w:rsidR="00D232E0">
        <w:t xml:space="preserve"> Trošak tekućih pomoći temeljem prijenosa EU sredstava u 2022.g iznosi 194.407,24 kn odnosno smanjenje u odnosu na prošlu godinu za 43,5%.</w:t>
      </w:r>
    </w:p>
    <w:p w:rsidR="00871333" w:rsidRDefault="00871333" w:rsidP="00AB3AF5"/>
    <w:p w:rsidR="00871333" w:rsidRDefault="00D22A41" w:rsidP="00AE5CA0">
      <w:pPr>
        <w:jc w:val="both"/>
        <w:rPr>
          <w:b/>
          <w:u w:val="single"/>
        </w:rPr>
      </w:pPr>
      <w:r>
        <w:rPr>
          <w:b/>
          <w:u w:val="single"/>
        </w:rPr>
        <w:t>Bilješka br. 4 Šifra 6526</w:t>
      </w:r>
      <w:r w:rsidR="00871333" w:rsidRPr="00871333">
        <w:rPr>
          <w:b/>
          <w:u w:val="single"/>
        </w:rPr>
        <w:t xml:space="preserve"> – Ostali nespomenuti prihodi</w:t>
      </w:r>
    </w:p>
    <w:p w:rsidR="00871333" w:rsidRDefault="00871333" w:rsidP="00AB3AF5">
      <w:pPr>
        <w:rPr>
          <w:b/>
          <w:u w:val="single"/>
        </w:rPr>
      </w:pPr>
    </w:p>
    <w:p w:rsidR="00871333" w:rsidRPr="00871333" w:rsidRDefault="00D22A41" w:rsidP="000429BB">
      <w:pPr>
        <w:jc w:val="both"/>
      </w:pPr>
      <w:r>
        <w:t xml:space="preserve">Odnosi se na sufinanciranje prehrane od strane roditelja i uplate Školskog sportskog saveza za dnevnice voditelja na natjecanja. Došlo je do povećanja </w:t>
      </w:r>
      <w:r w:rsidR="00882AE6">
        <w:t xml:space="preserve"> </w:t>
      </w:r>
      <w:r>
        <w:t xml:space="preserve">zbog manjeg broja izostanaka učenika uslijed </w:t>
      </w:r>
      <w:proofErr w:type="spellStart"/>
      <w:r>
        <w:t>pandemije</w:t>
      </w:r>
      <w:proofErr w:type="spellEnd"/>
      <w:r>
        <w:t xml:space="preserve"> te zbog povećanja cijene usluga školske kuhinje i produženog boravka.</w:t>
      </w:r>
      <w:r w:rsidR="00882AE6">
        <w:t xml:space="preserve"> Trošak ostalih nespomenutih prihoda u 2021.godini iznosio je 549.470,00 kn a u 2021. 726.999,06 kn.</w:t>
      </w:r>
    </w:p>
    <w:p w:rsidR="00721C07" w:rsidRDefault="00721C07" w:rsidP="00AB3AF5">
      <w:pPr>
        <w:rPr>
          <w:b/>
          <w:u w:val="single"/>
        </w:rPr>
      </w:pPr>
    </w:p>
    <w:p w:rsidR="00F61962" w:rsidRPr="00ED27D7" w:rsidRDefault="00BB180E" w:rsidP="00AE5CA0">
      <w:pPr>
        <w:jc w:val="both"/>
      </w:pPr>
      <w:r>
        <w:rPr>
          <w:b/>
          <w:u w:val="single"/>
        </w:rPr>
        <w:t>Bilješka br. 5 Šifra 6615</w:t>
      </w:r>
      <w:r w:rsidR="00F61962" w:rsidRPr="00F61962">
        <w:rPr>
          <w:b/>
          <w:u w:val="single"/>
        </w:rPr>
        <w:t xml:space="preserve"> – Prihodi od pruženih usluga</w:t>
      </w:r>
    </w:p>
    <w:p w:rsidR="00AB3AF5" w:rsidRPr="00F61962" w:rsidRDefault="00AB3AF5" w:rsidP="00AB3AF5"/>
    <w:p w:rsidR="00AE0409" w:rsidRPr="00AE0409" w:rsidRDefault="00BB180E" w:rsidP="00A24C2F">
      <w:pPr>
        <w:jc w:val="both"/>
      </w:pPr>
      <w:r>
        <w:t>Do smanjenja je došlo zbog manjih prihoda od najma prostora radi smanjenih kapaciteta škole, u smislu slobodnih učionica.</w:t>
      </w:r>
      <w:r w:rsidR="00AE0409">
        <w:rPr>
          <w:rFonts w:ascii="Calibri" w:hAnsi="Calibri" w:cs="Calibri"/>
          <w:color w:val="000000"/>
          <w:sz w:val="22"/>
          <w:szCs w:val="22"/>
        </w:rPr>
        <w:t> </w:t>
      </w:r>
      <w:r w:rsidR="00AE0409" w:rsidRPr="00AE0409">
        <w:rPr>
          <w:color w:val="000000"/>
        </w:rPr>
        <w:t>Iznos troškova prihodi od pruženih usluga  u 2021. godini iznosi je  45.037,00 kn, u 2022. 37.276,00 kn, što čini smanjenje 82,8 %. </w:t>
      </w:r>
    </w:p>
    <w:p w:rsidR="006C03BF" w:rsidRDefault="006C03BF" w:rsidP="00A24C2F">
      <w:pPr>
        <w:jc w:val="both"/>
      </w:pPr>
    </w:p>
    <w:p w:rsidR="00871333" w:rsidRPr="00BB180E" w:rsidRDefault="00BB180E" w:rsidP="00AE5CA0">
      <w:pPr>
        <w:jc w:val="both"/>
      </w:pPr>
      <w:r>
        <w:rPr>
          <w:b/>
          <w:u w:val="single"/>
        </w:rPr>
        <w:t>Bilješka br. 6 Šifra 6631</w:t>
      </w:r>
      <w:r w:rsidR="00871333" w:rsidRPr="00871333">
        <w:rPr>
          <w:b/>
          <w:u w:val="single"/>
        </w:rPr>
        <w:t xml:space="preserve"> – Tekuće donacije</w:t>
      </w:r>
    </w:p>
    <w:p w:rsidR="00871333" w:rsidRDefault="00871333" w:rsidP="00EF340E">
      <w:pPr>
        <w:rPr>
          <w:b/>
          <w:u w:val="single"/>
        </w:rPr>
      </w:pPr>
    </w:p>
    <w:p w:rsidR="00867575" w:rsidRPr="00867575" w:rsidRDefault="00BB180E" w:rsidP="00A24C2F">
      <w:pPr>
        <w:jc w:val="both"/>
      </w:pPr>
      <w:r>
        <w:t>Škola je u ovom razdoblju dobila dvije donacije, od društva INA d.d. za potrebe izvođenja nastave matematike i odlaska na natjecanja te od Unicefa za opremanje senzorne sobe u odjelima s učenicima s teškoćama u razvoju.</w:t>
      </w:r>
    </w:p>
    <w:p w:rsidR="00867575" w:rsidRPr="00867575" w:rsidRDefault="00867575" w:rsidP="00A24C2F">
      <w:pPr>
        <w:jc w:val="both"/>
        <w:rPr>
          <w:color w:val="000000"/>
        </w:rPr>
      </w:pPr>
      <w:r w:rsidRPr="00867575">
        <w:rPr>
          <w:color w:val="000000"/>
        </w:rPr>
        <w:t>Troškovi tekuće donacije iznose 24.193,00 kn, što čini porast od 463,50% naspram prethodne godine.</w:t>
      </w:r>
    </w:p>
    <w:p w:rsidR="00871333" w:rsidRDefault="00871333" w:rsidP="00EF340E"/>
    <w:p w:rsidR="00871333" w:rsidRDefault="002A61C8" w:rsidP="00AE5CA0">
      <w:pPr>
        <w:jc w:val="both"/>
      </w:pPr>
      <w:r>
        <w:rPr>
          <w:b/>
          <w:u w:val="single"/>
        </w:rPr>
        <w:t>Bilješka br. 7 Šifra 31 -</w:t>
      </w:r>
      <w:r w:rsidR="00871333" w:rsidRPr="00871333">
        <w:rPr>
          <w:b/>
          <w:u w:val="single"/>
        </w:rPr>
        <w:t xml:space="preserve"> Rashodi za zaposlene</w:t>
      </w:r>
    </w:p>
    <w:p w:rsidR="00871333" w:rsidRDefault="00871333" w:rsidP="00AE5CA0">
      <w:pPr>
        <w:jc w:val="both"/>
      </w:pPr>
    </w:p>
    <w:p w:rsidR="00871333" w:rsidRPr="00871333" w:rsidRDefault="002A61C8" w:rsidP="00AE5CA0">
      <w:pPr>
        <w:jc w:val="both"/>
      </w:pPr>
      <w:r>
        <w:t>Do povećanja</w:t>
      </w:r>
      <w:r w:rsidR="00871333">
        <w:t xml:space="preserve"> u odnosu na prošlu godinu </w:t>
      </w:r>
      <w:r>
        <w:t xml:space="preserve">je došlo </w:t>
      </w:r>
      <w:r w:rsidR="00871333">
        <w:t>zbog rasta osnovice</w:t>
      </w:r>
      <w:r>
        <w:t xml:space="preserve"> plaća, </w:t>
      </w:r>
      <w:r w:rsidR="00871333">
        <w:t>poveća</w:t>
      </w:r>
      <w:r w:rsidR="007D5E71">
        <w:t>nja posebnih uvjeta rada</w:t>
      </w:r>
      <w:r>
        <w:t xml:space="preserve">, prekovremenog rada, </w:t>
      </w:r>
      <w:r w:rsidR="007D5E71">
        <w:t>troš</w:t>
      </w:r>
      <w:r>
        <w:t>kova isplaćenih sudskih presuda te materijalnih prava zaposlenika.</w:t>
      </w:r>
      <w:r w:rsidR="00867575">
        <w:t xml:space="preserve"> Trošak rashodi za zaposlene iznosi 10.217.937,03 kn što čini povećanje u odnosu na prethodnu godinu 108%.</w:t>
      </w:r>
    </w:p>
    <w:p w:rsidR="002D76E7" w:rsidRDefault="002D76E7" w:rsidP="00AE5CA0">
      <w:pPr>
        <w:jc w:val="both"/>
      </w:pPr>
    </w:p>
    <w:p w:rsidR="002D76E7" w:rsidRDefault="000F4D7A" w:rsidP="00AE5CA0">
      <w:pPr>
        <w:jc w:val="both"/>
        <w:rPr>
          <w:b/>
          <w:u w:val="single"/>
        </w:rPr>
      </w:pPr>
      <w:r>
        <w:rPr>
          <w:b/>
          <w:u w:val="single"/>
        </w:rPr>
        <w:t>Bilješka br. 8 Šifra 3211</w:t>
      </w:r>
      <w:r w:rsidR="002D76E7">
        <w:rPr>
          <w:b/>
          <w:u w:val="single"/>
        </w:rPr>
        <w:t xml:space="preserve"> – </w:t>
      </w:r>
      <w:r w:rsidRPr="000F4D7A">
        <w:rPr>
          <w:b/>
          <w:u w:val="single"/>
        </w:rPr>
        <w:t>Službena putovanja</w:t>
      </w:r>
    </w:p>
    <w:p w:rsidR="002D76E7" w:rsidRDefault="002D76E7" w:rsidP="00AE5CA0">
      <w:pPr>
        <w:jc w:val="both"/>
        <w:rPr>
          <w:b/>
          <w:u w:val="single"/>
        </w:rPr>
      </w:pPr>
    </w:p>
    <w:p w:rsidR="003857D6" w:rsidRDefault="000F4D7A" w:rsidP="00AE5CA0">
      <w:pPr>
        <w:jc w:val="both"/>
      </w:pPr>
      <w:r w:rsidRPr="000F4D7A">
        <w:t xml:space="preserve">Do povećanja rashoda je došlo zbog povećanih aktivnosti u sklopu nastavnog programa, posebice nakon prestanka važenja svih mjera vezanih uz </w:t>
      </w:r>
      <w:proofErr w:type="spellStart"/>
      <w:r w:rsidRPr="000F4D7A">
        <w:t>pandemiju</w:t>
      </w:r>
      <w:proofErr w:type="spellEnd"/>
      <w:r>
        <w:t>.</w:t>
      </w:r>
      <w:r w:rsidR="00FE7D34">
        <w:t xml:space="preserve"> Trošak službena putovanja u 2022.g iznose 50.940,36 kn a u 2021.g. iznosi 22.998,00 kn. </w:t>
      </w:r>
    </w:p>
    <w:p w:rsidR="00421154" w:rsidRDefault="00421154" w:rsidP="00AE5CA0">
      <w:pPr>
        <w:jc w:val="both"/>
        <w:rPr>
          <w:b/>
          <w:u w:val="single"/>
        </w:rPr>
      </w:pPr>
    </w:p>
    <w:p w:rsidR="000F4D7A" w:rsidRDefault="000F4D7A" w:rsidP="00AE5CA0">
      <w:pPr>
        <w:jc w:val="both"/>
        <w:rPr>
          <w:b/>
          <w:u w:val="single"/>
        </w:rPr>
      </w:pPr>
      <w:r w:rsidRPr="000F4D7A">
        <w:rPr>
          <w:b/>
          <w:u w:val="single"/>
        </w:rPr>
        <w:t>Bilješka br. 9 Šifra 3221 - Uredski materijal i ostali materijalni rashodi</w:t>
      </w:r>
    </w:p>
    <w:p w:rsidR="000F4D7A" w:rsidRDefault="000F4D7A" w:rsidP="00AE5CA0">
      <w:pPr>
        <w:jc w:val="both"/>
        <w:rPr>
          <w:b/>
          <w:u w:val="single"/>
        </w:rPr>
      </w:pPr>
    </w:p>
    <w:p w:rsidR="00421154" w:rsidRPr="00421154" w:rsidRDefault="00421154" w:rsidP="00AE5CA0">
      <w:pPr>
        <w:jc w:val="both"/>
        <w:rPr>
          <w:color w:val="000000"/>
        </w:rPr>
      </w:pPr>
      <w:r w:rsidRPr="00421154">
        <w:rPr>
          <w:color w:val="000000"/>
        </w:rPr>
        <w:t>Troškovi uredski materijal i ostali materijalni rashodi  iznose 87.552,45 kn, što čini porast od 137,1% naspram prethodne godine.</w:t>
      </w:r>
    </w:p>
    <w:p w:rsidR="000F4D7A" w:rsidRPr="000F4D7A" w:rsidRDefault="000F4D7A" w:rsidP="00AE5CA0">
      <w:pPr>
        <w:jc w:val="both"/>
      </w:pPr>
      <w:r w:rsidRPr="00421154">
        <w:t>Troškovi su se povećali zbog rasta cijena na tržištu. Zbog manje izostanaka učenika i nastavnog osoblja povećana</w:t>
      </w:r>
      <w:r>
        <w:t xml:space="preserve"> je potražnja za papirom, tonerom te ostalim sredstvima potrebnim za redovnu nastavu. Ujedno su se povećale i cijene sredstava za </w:t>
      </w:r>
      <w:proofErr w:type="spellStart"/>
      <w:r>
        <w:t>čiščenje</w:t>
      </w:r>
      <w:proofErr w:type="spellEnd"/>
      <w:r>
        <w:t xml:space="preserve"> i održavanje škole te materijala za higijenske potrebe.</w:t>
      </w:r>
    </w:p>
    <w:p w:rsidR="000F4D7A" w:rsidRDefault="000F4D7A" w:rsidP="00AE5CA0">
      <w:pPr>
        <w:jc w:val="both"/>
        <w:rPr>
          <w:b/>
          <w:u w:val="single"/>
        </w:rPr>
      </w:pPr>
    </w:p>
    <w:p w:rsidR="003857D6" w:rsidRDefault="000F4D7A" w:rsidP="00AE5CA0">
      <w:pPr>
        <w:jc w:val="both"/>
        <w:rPr>
          <w:b/>
          <w:u w:val="single"/>
        </w:rPr>
      </w:pPr>
      <w:r>
        <w:rPr>
          <w:b/>
          <w:u w:val="single"/>
        </w:rPr>
        <w:t>Bilješka br. 10 Šifra 3222</w:t>
      </w:r>
      <w:r w:rsidR="003857D6" w:rsidRPr="003857D6">
        <w:rPr>
          <w:b/>
          <w:u w:val="single"/>
        </w:rPr>
        <w:t xml:space="preserve"> – </w:t>
      </w:r>
      <w:r w:rsidR="00B366C7">
        <w:rPr>
          <w:b/>
          <w:u w:val="single"/>
        </w:rPr>
        <w:t>Materijal i sirovine</w:t>
      </w:r>
    </w:p>
    <w:p w:rsidR="003857D6" w:rsidRDefault="003857D6" w:rsidP="00AE5CA0">
      <w:pPr>
        <w:jc w:val="both"/>
        <w:rPr>
          <w:b/>
          <w:u w:val="single"/>
        </w:rPr>
      </w:pPr>
    </w:p>
    <w:p w:rsidR="00B366C7" w:rsidRDefault="000F4D7A" w:rsidP="00AE5CA0">
      <w:pPr>
        <w:jc w:val="both"/>
      </w:pPr>
      <w:r>
        <w:t xml:space="preserve">Do povećanja je došlo zbog toga što u siječnju prošle godine nije bilo nastave zbog potresa pa nije postojala potreba ni za namirnicama za školsku kuhinju. Ove godine se nastava odvijala normalno, uz manje samoizolacija pa su troškovi porasli. Ujedno su porasle i cijene pojedinih </w:t>
      </w:r>
      <w:r>
        <w:lastRenderedPageBreak/>
        <w:t>namirnica.</w:t>
      </w:r>
      <w:r w:rsidR="007B5069">
        <w:t xml:space="preserve"> Trošak materijal i sirovine  u 2022.g iznosi 652.097,97 kn  a u 2021.g. je iznosio 483.061,00kn.</w:t>
      </w:r>
    </w:p>
    <w:p w:rsidR="00B366C7" w:rsidRDefault="00B366C7" w:rsidP="00B366C7"/>
    <w:p w:rsidR="00B366C7" w:rsidRDefault="000F4D7A" w:rsidP="00AE5CA0">
      <w:pPr>
        <w:jc w:val="both"/>
        <w:rPr>
          <w:b/>
          <w:u w:val="single"/>
        </w:rPr>
      </w:pPr>
      <w:r>
        <w:rPr>
          <w:b/>
          <w:u w:val="single"/>
        </w:rPr>
        <w:t>Bilješka br. 11 Šifra 3223</w:t>
      </w:r>
      <w:r w:rsidR="00B366C7" w:rsidRPr="00B366C7">
        <w:rPr>
          <w:b/>
          <w:u w:val="single"/>
        </w:rPr>
        <w:t xml:space="preserve"> </w:t>
      </w:r>
      <w:r w:rsidR="00B366C7">
        <w:rPr>
          <w:b/>
          <w:u w:val="single"/>
        </w:rPr>
        <w:t>–</w:t>
      </w:r>
      <w:r w:rsidR="00B366C7" w:rsidRPr="00B366C7">
        <w:rPr>
          <w:b/>
          <w:u w:val="single"/>
        </w:rPr>
        <w:t xml:space="preserve"> Energija</w:t>
      </w:r>
    </w:p>
    <w:p w:rsidR="00B366C7" w:rsidRDefault="00B366C7" w:rsidP="00B366C7">
      <w:pPr>
        <w:rPr>
          <w:b/>
          <w:u w:val="single"/>
        </w:rPr>
      </w:pPr>
    </w:p>
    <w:p w:rsidR="00B366C7" w:rsidRDefault="000F4D7A" w:rsidP="006C03BF">
      <w:pPr>
        <w:jc w:val="both"/>
      </w:pPr>
      <w:r>
        <w:t xml:space="preserve">Do smanjenja energetskih troškova došlo je prije svega zbog manjih troškova plina jer je škola krajem prošle godine </w:t>
      </w:r>
      <w:r w:rsidR="004825CE">
        <w:t>krenula s radovima na održavanju kotlovnice čime se postigla znatna ušteda na plinu u sezoni grijanja.</w:t>
      </w:r>
      <w:r w:rsidR="007B5069">
        <w:t xml:space="preserve"> Trošak energija u 2022.g je iznosio 317.315,49 kn a u 2021.g je iznosio 342.713,00 kn.</w:t>
      </w:r>
    </w:p>
    <w:p w:rsidR="004825CE" w:rsidRDefault="004825CE" w:rsidP="006C03BF">
      <w:pPr>
        <w:jc w:val="both"/>
      </w:pPr>
    </w:p>
    <w:p w:rsidR="004825CE" w:rsidRDefault="004825CE" w:rsidP="00AE5CA0">
      <w:pPr>
        <w:jc w:val="both"/>
        <w:rPr>
          <w:b/>
          <w:u w:val="single"/>
        </w:rPr>
      </w:pPr>
      <w:r w:rsidRPr="004825CE">
        <w:rPr>
          <w:b/>
          <w:u w:val="single"/>
        </w:rPr>
        <w:t>Bilješka br. 1</w:t>
      </w:r>
      <w:r w:rsidR="006C03BF">
        <w:rPr>
          <w:b/>
          <w:u w:val="single"/>
        </w:rPr>
        <w:t>2</w:t>
      </w:r>
      <w:r w:rsidRPr="004825CE">
        <w:rPr>
          <w:b/>
          <w:u w:val="single"/>
        </w:rPr>
        <w:t xml:space="preserve"> Šifra 3224 - Materijal i dijelovi za tekuće i investicijsko održavanje</w:t>
      </w:r>
    </w:p>
    <w:p w:rsidR="004825CE" w:rsidRDefault="004825CE" w:rsidP="00B366C7">
      <w:pPr>
        <w:rPr>
          <w:b/>
          <w:u w:val="single"/>
        </w:rPr>
      </w:pPr>
    </w:p>
    <w:p w:rsidR="004825CE" w:rsidRPr="004825CE" w:rsidRDefault="004825CE" w:rsidP="006C03BF">
      <w:pPr>
        <w:jc w:val="both"/>
      </w:pPr>
      <w:r>
        <w:t>Do smanjenja je došlo jer su prošle godine bili pojačani radovi na održavanju škole nakon potresa. Također, ove godine je dio troškova materijala i dijelova za održavanje škole na sebe preuzela i OŠ Ivana Kukuljevića s kojom dijelimo prostor.</w:t>
      </w:r>
      <w:r w:rsidR="002D241F">
        <w:t xml:space="preserve"> Trošak materijal i dijelovi za tekuće i investicijsko održavanje u 2022.g iznosio je 24.963,80 kn a u 2021.g trošak je bio 43.535,00 kn.</w:t>
      </w:r>
    </w:p>
    <w:p w:rsidR="00B366C7" w:rsidRDefault="00B366C7" w:rsidP="00B366C7"/>
    <w:p w:rsidR="00B366C7" w:rsidRDefault="004825CE" w:rsidP="00AE5CA0">
      <w:pPr>
        <w:jc w:val="both"/>
      </w:pPr>
      <w:r>
        <w:rPr>
          <w:b/>
          <w:u w:val="single"/>
        </w:rPr>
        <w:t>Bilješka br. 1</w:t>
      </w:r>
      <w:r w:rsidR="006C03BF">
        <w:rPr>
          <w:b/>
          <w:u w:val="single"/>
        </w:rPr>
        <w:t>3</w:t>
      </w:r>
      <w:r>
        <w:rPr>
          <w:b/>
          <w:u w:val="single"/>
        </w:rPr>
        <w:t xml:space="preserve"> Šifra 3231</w:t>
      </w:r>
      <w:r w:rsidR="00B366C7" w:rsidRPr="00B366C7">
        <w:rPr>
          <w:b/>
          <w:u w:val="single"/>
        </w:rPr>
        <w:t xml:space="preserve"> – Usluge telefona, pošte i prijevoza</w:t>
      </w:r>
    </w:p>
    <w:p w:rsidR="00B366C7" w:rsidRDefault="00B366C7" w:rsidP="00B366C7"/>
    <w:p w:rsidR="004825CE" w:rsidRDefault="004825CE" w:rsidP="004825CE">
      <w:pPr>
        <w:jc w:val="both"/>
      </w:pPr>
      <w:r>
        <w:t>Do povećanja je došlo zbog većih troškova prijevoza učenika s teškoćama u razvoju budući je došlo do povećanja broja nastavnih dana u odnosu na prošlu godinu, a osim toga u novoj nastavnoj godini svi prijevoznici su povećali cijenu prijevoza po kilometru radi većih troškova goriva.</w:t>
      </w:r>
      <w:r w:rsidR="00461643">
        <w:t xml:space="preserve"> Trošak usluge telefona, pošte i prijevoza u 2022.g iznosio je 466.242,46 kn dok je u 2021.g iznosio 334.484,00 kn što čini povećanje od 139,4%.</w:t>
      </w:r>
    </w:p>
    <w:p w:rsidR="006C03BF" w:rsidRDefault="006C03BF" w:rsidP="00AB3AF5"/>
    <w:p w:rsidR="00DE1026" w:rsidRDefault="00A402ED" w:rsidP="00AE5CA0">
      <w:pPr>
        <w:jc w:val="both"/>
        <w:rPr>
          <w:b/>
          <w:u w:val="single"/>
        </w:rPr>
      </w:pPr>
      <w:r>
        <w:rPr>
          <w:b/>
          <w:u w:val="single"/>
        </w:rPr>
        <w:t>Bilješka br. 1</w:t>
      </w:r>
      <w:r w:rsidR="006C03BF">
        <w:rPr>
          <w:b/>
          <w:u w:val="single"/>
        </w:rPr>
        <w:t>4</w:t>
      </w:r>
      <w:r>
        <w:rPr>
          <w:b/>
          <w:u w:val="single"/>
        </w:rPr>
        <w:t xml:space="preserve"> Šifra 3232</w:t>
      </w:r>
      <w:r w:rsidR="00DE1026">
        <w:rPr>
          <w:b/>
          <w:u w:val="single"/>
        </w:rPr>
        <w:t xml:space="preserve"> – Usluge tekućeg i investicijskog održavanja</w:t>
      </w:r>
    </w:p>
    <w:p w:rsidR="001D1F10" w:rsidRDefault="001D1F10" w:rsidP="00AE5CA0">
      <w:pPr>
        <w:jc w:val="both"/>
      </w:pPr>
    </w:p>
    <w:p w:rsidR="00A402ED" w:rsidRDefault="00A402ED" w:rsidP="00AE5CA0">
      <w:pPr>
        <w:jc w:val="both"/>
      </w:pPr>
      <w:r>
        <w:t>Do smanjenja troškova je došlo zbog toga što ove godine u školi nije bilo većih građevinskih rad</w:t>
      </w:r>
      <w:r w:rsidR="00821D26">
        <w:t>ova kao prošle, kada su bili pojačani radovi saniranja zgrade radi potresa.</w:t>
      </w:r>
      <w:r w:rsidR="00461643">
        <w:t xml:space="preserve"> Trošak je u 2022.g iznosio 129</w:t>
      </w:r>
      <w:r w:rsidR="00A06E52">
        <w:t>.155,39 kn a u 2021.g trošak je bio</w:t>
      </w:r>
      <w:r w:rsidR="00461643">
        <w:t xml:space="preserve"> 255.058,00 kn.</w:t>
      </w:r>
    </w:p>
    <w:p w:rsidR="00A06E52" w:rsidRDefault="00A06E52" w:rsidP="00AE5CA0">
      <w:pPr>
        <w:jc w:val="both"/>
        <w:rPr>
          <w:b/>
          <w:u w:val="single"/>
        </w:rPr>
      </w:pPr>
    </w:p>
    <w:p w:rsidR="001D1F10" w:rsidRPr="00910E9F" w:rsidRDefault="00821D26" w:rsidP="00AE5CA0">
      <w:pPr>
        <w:jc w:val="both"/>
        <w:rPr>
          <w:b/>
          <w:u w:val="single"/>
        </w:rPr>
      </w:pPr>
      <w:r>
        <w:rPr>
          <w:b/>
          <w:u w:val="single"/>
        </w:rPr>
        <w:t>Bilješka br. 1</w:t>
      </w:r>
      <w:r w:rsidR="006C03BF">
        <w:rPr>
          <w:b/>
          <w:u w:val="single"/>
        </w:rPr>
        <w:t>5</w:t>
      </w:r>
      <w:r>
        <w:rPr>
          <w:b/>
          <w:u w:val="single"/>
        </w:rPr>
        <w:t xml:space="preserve"> Šifra 3234 -</w:t>
      </w:r>
      <w:r w:rsidR="001D1F10" w:rsidRPr="00910E9F">
        <w:rPr>
          <w:b/>
          <w:u w:val="single"/>
        </w:rPr>
        <w:t xml:space="preserve"> </w:t>
      </w:r>
      <w:r w:rsidRPr="00821D26">
        <w:rPr>
          <w:b/>
          <w:u w:val="single"/>
        </w:rPr>
        <w:t>Komunalne usluge</w:t>
      </w:r>
    </w:p>
    <w:p w:rsidR="001D1F10" w:rsidRDefault="001D1F10" w:rsidP="00AE5CA0">
      <w:pPr>
        <w:jc w:val="both"/>
      </w:pPr>
    </w:p>
    <w:p w:rsidR="00A06E52" w:rsidRDefault="00821D26" w:rsidP="00AE5CA0">
      <w:pPr>
        <w:jc w:val="both"/>
        <w:rPr>
          <w:rFonts w:ascii="Calibri" w:hAnsi="Calibri" w:cs="Calibri"/>
          <w:color w:val="000000"/>
          <w:sz w:val="22"/>
          <w:szCs w:val="22"/>
        </w:rPr>
      </w:pPr>
      <w:r>
        <w:t>Troškovi su se smanjili radi manjih troškova odvoza otpada i dimnjačarskih usluga</w:t>
      </w:r>
      <w:r w:rsidR="003563A3">
        <w:t>.</w:t>
      </w:r>
      <w:r w:rsidR="00A06E52">
        <w:t xml:space="preserve"> Trošak komunalne usluge u 2022.g iznosio je 30.434,63 kn što čini smanjenje naspram prethodne godine 64,4%.</w:t>
      </w:r>
    </w:p>
    <w:p w:rsidR="00821D26" w:rsidRDefault="00821D26" w:rsidP="00AE5CA0">
      <w:pPr>
        <w:jc w:val="both"/>
      </w:pPr>
    </w:p>
    <w:p w:rsidR="00821D26" w:rsidRDefault="00821D26" w:rsidP="00AE5CA0">
      <w:pPr>
        <w:jc w:val="both"/>
        <w:rPr>
          <w:b/>
          <w:u w:val="single"/>
        </w:rPr>
      </w:pPr>
      <w:r w:rsidRPr="00821D26">
        <w:rPr>
          <w:b/>
          <w:u w:val="single"/>
        </w:rPr>
        <w:t>Bilješka br. 1</w:t>
      </w:r>
      <w:r w:rsidR="006C03BF">
        <w:rPr>
          <w:b/>
          <w:u w:val="single"/>
        </w:rPr>
        <w:t>6</w:t>
      </w:r>
      <w:r w:rsidRPr="00821D26">
        <w:rPr>
          <w:b/>
          <w:u w:val="single"/>
        </w:rPr>
        <w:t xml:space="preserve"> Šifra 3237 - Intelektualne i osobne usluge</w:t>
      </w:r>
    </w:p>
    <w:p w:rsidR="00821D26" w:rsidRDefault="00821D26" w:rsidP="00AE5CA0">
      <w:pPr>
        <w:jc w:val="both"/>
        <w:rPr>
          <w:b/>
          <w:u w:val="single"/>
        </w:rPr>
      </w:pPr>
    </w:p>
    <w:p w:rsidR="00821D26" w:rsidRDefault="00821D26" w:rsidP="00AE5CA0">
      <w:pPr>
        <w:jc w:val="both"/>
      </w:pPr>
      <w:r>
        <w:t>Do povećanja troškova je došlo zbog dodatnog troška izrade projektne dokumentacije</w:t>
      </w:r>
      <w:r w:rsidR="006F7325">
        <w:t>.</w:t>
      </w:r>
      <w:r w:rsidR="004E1F36">
        <w:t xml:space="preserve"> Trošak intelektualne i osobne usluge u 2022.g iznosio je 40.684,45 kn što čini povećanje naspram prethodne godine 180,7%.</w:t>
      </w:r>
    </w:p>
    <w:p w:rsidR="006F7325" w:rsidRDefault="006F7325" w:rsidP="00AE5CA0">
      <w:pPr>
        <w:jc w:val="both"/>
      </w:pPr>
    </w:p>
    <w:p w:rsidR="006F7325" w:rsidRDefault="006F7325" w:rsidP="00AE5CA0">
      <w:pPr>
        <w:jc w:val="both"/>
        <w:rPr>
          <w:b/>
          <w:u w:val="single"/>
        </w:rPr>
      </w:pPr>
      <w:r w:rsidRPr="006F7325">
        <w:rPr>
          <w:b/>
          <w:u w:val="single"/>
        </w:rPr>
        <w:t>Bilješka br. 1</w:t>
      </w:r>
      <w:r w:rsidR="006C03BF">
        <w:rPr>
          <w:b/>
          <w:u w:val="single"/>
        </w:rPr>
        <w:t>7</w:t>
      </w:r>
      <w:r w:rsidRPr="006F7325">
        <w:rPr>
          <w:b/>
          <w:u w:val="single"/>
        </w:rPr>
        <w:t xml:space="preserve"> Šifra 3239 - Ostale usluge</w:t>
      </w:r>
    </w:p>
    <w:p w:rsidR="006F7325" w:rsidRDefault="006F7325" w:rsidP="00AE5CA0">
      <w:pPr>
        <w:jc w:val="both"/>
        <w:rPr>
          <w:b/>
          <w:u w:val="single"/>
        </w:rPr>
      </w:pPr>
    </w:p>
    <w:p w:rsidR="006F7325" w:rsidRDefault="006F7325" w:rsidP="00AE5CA0">
      <w:pPr>
        <w:jc w:val="both"/>
      </w:pPr>
      <w:r>
        <w:t>Došlo je do smanjenja jer ove godine nije bilo troškova psihosocijalne potpore koji su prošle godine bili evidentirani na ovom kontu.</w:t>
      </w:r>
      <w:r w:rsidR="00A55A1C">
        <w:t xml:space="preserve"> Trošak ostale usluge u 2022. g. iznosio je 25.915,75 kn a u 2021.g trošak je iznosio 55.496,00 kn.</w:t>
      </w:r>
    </w:p>
    <w:p w:rsidR="00C659A0" w:rsidRDefault="00C659A0" w:rsidP="00AE5CA0">
      <w:pPr>
        <w:jc w:val="both"/>
      </w:pPr>
    </w:p>
    <w:p w:rsidR="006F7325" w:rsidRDefault="006F7325" w:rsidP="00AE5CA0">
      <w:pPr>
        <w:jc w:val="both"/>
      </w:pPr>
    </w:p>
    <w:p w:rsidR="006F7325" w:rsidRDefault="006F7325" w:rsidP="00AE5CA0">
      <w:pPr>
        <w:jc w:val="both"/>
        <w:rPr>
          <w:b/>
          <w:u w:val="single"/>
        </w:rPr>
      </w:pPr>
      <w:r w:rsidRPr="006F7325">
        <w:rPr>
          <w:b/>
          <w:u w:val="single"/>
        </w:rPr>
        <w:lastRenderedPageBreak/>
        <w:t>Bilješka br. 1</w:t>
      </w:r>
      <w:r w:rsidR="006C03BF">
        <w:rPr>
          <w:b/>
          <w:u w:val="single"/>
        </w:rPr>
        <w:t>8</w:t>
      </w:r>
      <w:r w:rsidRPr="006F7325">
        <w:rPr>
          <w:b/>
          <w:u w:val="single"/>
        </w:rPr>
        <w:t xml:space="preserve"> Šifra 3292 – Premije osiguranja</w:t>
      </w:r>
    </w:p>
    <w:p w:rsidR="006F7325" w:rsidRDefault="006F7325" w:rsidP="00AE5CA0">
      <w:pPr>
        <w:jc w:val="both"/>
        <w:rPr>
          <w:b/>
          <w:u w:val="single"/>
        </w:rPr>
      </w:pPr>
    </w:p>
    <w:p w:rsidR="006F7325" w:rsidRDefault="006F7325" w:rsidP="00AE5CA0">
      <w:pPr>
        <w:jc w:val="both"/>
      </w:pPr>
      <w:r>
        <w:t>Odnosi se na premije osiguranja imovine i zaposlenika.</w:t>
      </w:r>
      <w:r w:rsidR="00F5730E">
        <w:t xml:space="preserve">  </w:t>
      </w:r>
    </w:p>
    <w:p w:rsidR="00F5730E" w:rsidRPr="00C60046" w:rsidRDefault="00F5730E" w:rsidP="00AE5CA0">
      <w:pPr>
        <w:jc w:val="both"/>
        <w:rPr>
          <w:color w:val="000000"/>
        </w:rPr>
      </w:pPr>
      <w:r w:rsidRPr="00C60046">
        <w:rPr>
          <w:color w:val="000000"/>
        </w:rPr>
        <w:t>Iznos troškova premije osiguranja u 2021. godini iznosio je 2.533,00  kn, u 2022. 33.028,23 kn.</w:t>
      </w:r>
    </w:p>
    <w:p w:rsidR="00B104BB" w:rsidRDefault="00B104BB" w:rsidP="00AE5CA0">
      <w:pPr>
        <w:jc w:val="both"/>
      </w:pPr>
    </w:p>
    <w:p w:rsidR="00064C43" w:rsidRDefault="006F7325" w:rsidP="00AE5CA0">
      <w:pPr>
        <w:jc w:val="both"/>
        <w:rPr>
          <w:b/>
          <w:u w:val="single"/>
        </w:rPr>
      </w:pPr>
      <w:r>
        <w:rPr>
          <w:b/>
          <w:u w:val="single"/>
        </w:rPr>
        <w:t>Bilješka br. 1</w:t>
      </w:r>
      <w:r w:rsidR="006C03BF">
        <w:rPr>
          <w:b/>
          <w:u w:val="single"/>
        </w:rPr>
        <w:t>9</w:t>
      </w:r>
      <w:r>
        <w:rPr>
          <w:b/>
          <w:u w:val="single"/>
        </w:rPr>
        <w:t xml:space="preserve"> Šifra 372</w:t>
      </w:r>
      <w:r w:rsidR="00577C0F" w:rsidRPr="00577C0F">
        <w:rPr>
          <w:b/>
          <w:u w:val="single"/>
        </w:rPr>
        <w:t xml:space="preserve"> – Ostale naknade građanima i kućanstvima iz proračuna </w:t>
      </w:r>
    </w:p>
    <w:p w:rsidR="00577C0F" w:rsidRDefault="00577C0F" w:rsidP="00AE5CA0">
      <w:pPr>
        <w:jc w:val="both"/>
        <w:rPr>
          <w:b/>
          <w:u w:val="single"/>
        </w:rPr>
      </w:pPr>
    </w:p>
    <w:p w:rsidR="00B104BB" w:rsidRPr="00633C4D" w:rsidRDefault="00633C4D" w:rsidP="00AE5CA0">
      <w:pPr>
        <w:jc w:val="both"/>
      </w:pPr>
      <w:r w:rsidRPr="00633C4D">
        <w:t xml:space="preserve">Sredstva se odnose na naknadu </w:t>
      </w:r>
      <w:r w:rsidR="00A26218">
        <w:t>troškova prijevoza</w:t>
      </w:r>
      <w:r w:rsidR="007D5E71">
        <w:t xml:space="preserve"> roditeljima</w:t>
      </w:r>
      <w:r w:rsidRPr="00633C4D">
        <w:t xml:space="preserve"> </w:t>
      </w:r>
      <w:r>
        <w:t>djece s teškoćama u razvoju te nabavu radnih bilježnica koje se smatraju radnim materijalom za svu djecu u školi.</w:t>
      </w:r>
      <w:r w:rsidR="00B104BB">
        <w:t xml:space="preserve"> Ove godine su </w:t>
      </w:r>
      <w:r w:rsidR="0099650D">
        <w:t xml:space="preserve">se </w:t>
      </w:r>
      <w:r w:rsidR="00B104BB">
        <w:t xml:space="preserve">troškovi prijevoza djece </w:t>
      </w:r>
      <w:r w:rsidR="0099650D">
        <w:t xml:space="preserve">smanjili jer se naknada za prijevoz više ne isplaćuje jednom od roditelja koji je u prošloj školskoj godini </w:t>
      </w:r>
      <w:r w:rsidR="006C03BF">
        <w:t>ostvarivao znatnu naknadu za isto</w:t>
      </w:r>
      <w:r w:rsidR="0099650D">
        <w:t>. Od ove godine njemu se trošak prijevoza ne isplaćuje jer živi blizu škole. Škola je ove godine naručila više radnih udžbenika nego prošle i zato je trošak veći</w:t>
      </w:r>
      <w:r w:rsidR="00B104BB">
        <w:t>.</w:t>
      </w:r>
      <w:r w:rsidR="0079358D">
        <w:t xml:space="preserve"> Trošak ostale naknade građanima i kućanstvima iz proračuna u 2022.g iznosio je 401.726,07 kn što je više u odnosu na prošlu godinu gdje su troškovi iznosili 393.091,00 kn.</w:t>
      </w:r>
    </w:p>
    <w:p w:rsidR="00C70086" w:rsidRDefault="00C70086" w:rsidP="00AE5CA0">
      <w:pPr>
        <w:jc w:val="both"/>
      </w:pPr>
    </w:p>
    <w:p w:rsidR="00633C4D" w:rsidRDefault="008E654D" w:rsidP="00AE5CA0">
      <w:pPr>
        <w:jc w:val="both"/>
        <w:rPr>
          <w:b/>
          <w:u w:val="single"/>
        </w:rPr>
      </w:pPr>
      <w:r>
        <w:rPr>
          <w:b/>
          <w:u w:val="single"/>
        </w:rPr>
        <w:t xml:space="preserve">Bilješka br. </w:t>
      </w:r>
      <w:r w:rsidR="006C03BF">
        <w:rPr>
          <w:b/>
          <w:u w:val="single"/>
        </w:rPr>
        <w:t>20</w:t>
      </w:r>
      <w:r>
        <w:rPr>
          <w:b/>
          <w:u w:val="single"/>
        </w:rPr>
        <w:t xml:space="preserve"> Šifra 422</w:t>
      </w:r>
      <w:r w:rsidR="00633C4D" w:rsidRPr="00633C4D">
        <w:rPr>
          <w:b/>
          <w:u w:val="single"/>
        </w:rPr>
        <w:t xml:space="preserve"> </w:t>
      </w:r>
      <w:r w:rsidR="00633C4D">
        <w:rPr>
          <w:b/>
          <w:u w:val="single"/>
        </w:rPr>
        <w:t>–</w:t>
      </w:r>
      <w:r w:rsidR="00633C4D" w:rsidRPr="00633C4D">
        <w:rPr>
          <w:b/>
          <w:u w:val="single"/>
        </w:rPr>
        <w:t xml:space="preserve"> </w:t>
      </w:r>
      <w:r w:rsidRPr="008E654D">
        <w:rPr>
          <w:b/>
          <w:u w:val="single"/>
        </w:rPr>
        <w:t>Postrojen</w:t>
      </w:r>
      <w:r>
        <w:rPr>
          <w:b/>
          <w:u w:val="single"/>
        </w:rPr>
        <w:t>ja i oprema</w:t>
      </w:r>
    </w:p>
    <w:p w:rsidR="008E654D" w:rsidRDefault="008E654D" w:rsidP="00AE5CA0">
      <w:pPr>
        <w:jc w:val="both"/>
        <w:rPr>
          <w:b/>
          <w:u w:val="single"/>
        </w:rPr>
      </w:pPr>
    </w:p>
    <w:p w:rsidR="00633C4D" w:rsidRDefault="008E654D" w:rsidP="006C03BF">
      <w:pPr>
        <w:jc w:val="both"/>
      </w:pPr>
      <w:r>
        <w:t xml:space="preserve">Ove godine je nabavljen materijal za izradu uredskih ormara, klima uređaj te </w:t>
      </w:r>
      <w:r w:rsidR="00831BAE">
        <w:t>čistač šikare</w:t>
      </w:r>
      <w:r>
        <w:t>.</w:t>
      </w:r>
    </w:p>
    <w:p w:rsidR="00D901C0" w:rsidRPr="00D901C0" w:rsidRDefault="00D901C0" w:rsidP="00D901C0">
      <w:pPr>
        <w:jc w:val="both"/>
      </w:pPr>
      <w:r>
        <w:t>Trošak postrojenja i oprema u 2022.g iznosio je 22.142,19 kn  dok je u 2021.g. iznosio 14.409,00 kn što čini porast.</w:t>
      </w:r>
    </w:p>
    <w:p w:rsidR="00E2467E" w:rsidRDefault="00E2467E" w:rsidP="00AB3AF5"/>
    <w:p w:rsidR="00E2467E" w:rsidRDefault="006C03BF" w:rsidP="00AE5CA0">
      <w:pPr>
        <w:jc w:val="both"/>
        <w:rPr>
          <w:b/>
          <w:u w:val="single"/>
        </w:rPr>
      </w:pPr>
      <w:r>
        <w:rPr>
          <w:b/>
          <w:u w:val="single"/>
        </w:rPr>
        <w:t>Bilješka br. 21</w:t>
      </w:r>
      <w:r w:rsidR="00E2467E" w:rsidRPr="00E2467E">
        <w:rPr>
          <w:b/>
          <w:u w:val="single"/>
        </w:rPr>
        <w:t xml:space="preserve"> Šifra 4241 </w:t>
      </w:r>
      <w:r w:rsidR="00E2467E">
        <w:rPr>
          <w:b/>
          <w:u w:val="single"/>
        </w:rPr>
        <w:t>–</w:t>
      </w:r>
      <w:r w:rsidR="00E2467E" w:rsidRPr="00E2467E">
        <w:rPr>
          <w:b/>
          <w:u w:val="single"/>
        </w:rPr>
        <w:t xml:space="preserve"> Knjige</w:t>
      </w:r>
    </w:p>
    <w:p w:rsidR="00E2467E" w:rsidRDefault="00E2467E" w:rsidP="00AE5CA0">
      <w:pPr>
        <w:jc w:val="both"/>
        <w:rPr>
          <w:b/>
          <w:u w:val="single"/>
        </w:rPr>
      </w:pPr>
    </w:p>
    <w:p w:rsidR="00AD3162" w:rsidRPr="00C659A0" w:rsidRDefault="00E2467E" w:rsidP="00AE5CA0">
      <w:pPr>
        <w:jc w:val="both"/>
      </w:pPr>
      <w:r>
        <w:t>Do smanjenja je došlo jer je škola ove godine naručila manje udžbenika budući je dio iskoristiv iz prošle godine</w:t>
      </w:r>
      <w:r w:rsidR="005132E8">
        <w:t>. Trošak knjige u 2022.g iznosio je 86.525,84 kn dok je u 2021.g iznosio 106.838,00 kn što čini smanjenje.</w:t>
      </w:r>
    </w:p>
    <w:p w:rsidR="00B56052" w:rsidRPr="00EF15EA" w:rsidRDefault="00B56052" w:rsidP="00AE5CA0">
      <w:pPr>
        <w:jc w:val="both"/>
        <w:rPr>
          <w:b/>
        </w:rPr>
      </w:pPr>
    </w:p>
    <w:p w:rsidR="00EF15EA" w:rsidRDefault="006C03BF" w:rsidP="00AE5CA0">
      <w:pPr>
        <w:jc w:val="both"/>
        <w:rPr>
          <w:b/>
          <w:u w:val="single"/>
        </w:rPr>
      </w:pPr>
      <w:r>
        <w:rPr>
          <w:b/>
          <w:u w:val="single"/>
        </w:rPr>
        <w:t>Bilješka br. 22 Šifre Z007 i Z009</w:t>
      </w:r>
      <w:r w:rsidR="00EF15EA" w:rsidRPr="00EF15EA">
        <w:rPr>
          <w:b/>
          <w:u w:val="single"/>
        </w:rPr>
        <w:t xml:space="preserve"> Prosječan broj zaposlenih kod korisnika na osnovi sata rada i stanja na početku i na kraju izvještajnog razdoblja </w:t>
      </w:r>
    </w:p>
    <w:p w:rsidR="00EF15EA" w:rsidRPr="00EF15EA" w:rsidRDefault="00EF15EA" w:rsidP="00AE5CA0">
      <w:pPr>
        <w:jc w:val="both"/>
        <w:rPr>
          <w:b/>
          <w:u w:val="single"/>
        </w:rPr>
      </w:pPr>
    </w:p>
    <w:p w:rsidR="00EF15EA" w:rsidRDefault="00EF15EA" w:rsidP="00AE5CA0">
      <w:pPr>
        <w:jc w:val="both"/>
      </w:pPr>
      <w:r>
        <w:t xml:space="preserve">Broj ukupno </w:t>
      </w:r>
      <w:r w:rsidR="00B26456">
        <w:t>zaposlenih</w:t>
      </w:r>
      <w:r w:rsidR="00090A78">
        <w:t xml:space="preserve"> je</w:t>
      </w:r>
      <w:r w:rsidR="00B26456">
        <w:t xml:space="preserve"> 8</w:t>
      </w:r>
      <w:r w:rsidR="00831BAE">
        <w:t>6</w:t>
      </w:r>
      <w:r>
        <w:t xml:space="preserve"> na kraju izvještajnog razdoblja i 7</w:t>
      </w:r>
      <w:r w:rsidR="00831BAE">
        <w:t>7</w:t>
      </w:r>
      <w:r>
        <w:t xml:space="preserve"> na osnovi sata rada.</w:t>
      </w:r>
    </w:p>
    <w:p w:rsidR="00ED27D7" w:rsidRDefault="00EF15EA" w:rsidP="00AE5CA0">
      <w:pPr>
        <w:jc w:val="both"/>
      </w:pPr>
      <w:r>
        <w:t>U suradnji s Grad</w:t>
      </w:r>
      <w:r w:rsidR="00B26456">
        <w:t>om Sis</w:t>
      </w:r>
      <w:r w:rsidR="00DD2415">
        <w:t>kom zaposleno je ukupno 20</w:t>
      </w:r>
      <w:r w:rsidR="00671286">
        <w:t xml:space="preserve"> djelatnika</w:t>
      </w:r>
      <w:r w:rsidR="00B26456">
        <w:t xml:space="preserve"> od čega: </w:t>
      </w:r>
      <w:r w:rsidR="00090A78">
        <w:t>1</w:t>
      </w:r>
      <w:r w:rsidR="00DD2415">
        <w:t>2</w:t>
      </w:r>
      <w:r w:rsidR="00B26456">
        <w:t xml:space="preserve"> pomoćnika u nastavi, </w:t>
      </w:r>
      <w:r w:rsidR="00DD2415">
        <w:t>6</w:t>
      </w:r>
      <w:r>
        <w:t xml:space="preserve"> učitelja u produženom boravku</w:t>
      </w:r>
      <w:r w:rsidR="00DD2415">
        <w:t xml:space="preserve"> (</w:t>
      </w:r>
      <w:r w:rsidR="006C03BF">
        <w:t xml:space="preserve">od toga </w:t>
      </w:r>
      <w:r w:rsidR="00DD2415">
        <w:t>jedna učiteljica na zamjeni)</w:t>
      </w:r>
      <w:r>
        <w:t>, 1 kuharica za produženi boravak i 1 administrativni radnik.</w:t>
      </w:r>
      <w:bookmarkStart w:id="1" w:name="_MON_1453200007"/>
      <w:bookmarkStart w:id="2" w:name="_MON_1453200316"/>
      <w:bookmarkStart w:id="3" w:name="_MON_1453528128"/>
      <w:bookmarkStart w:id="4" w:name="_MON_1483787404"/>
      <w:bookmarkStart w:id="5" w:name="_MON_1483787559"/>
      <w:bookmarkStart w:id="6" w:name="_MON_1483787925"/>
      <w:bookmarkStart w:id="7" w:name="_MON_1483788183"/>
      <w:bookmarkStart w:id="8" w:name="_MON_1483847688"/>
      <w:bookmarkStart w:id="9" w:name="_MON_1483848199"/>
      <w:bookmarkStart w:id="10" w:name="_MON_1483849168"/>
      <w:bookmarkStart w:id="11" w:name="_MON_1483849471"/>
      <w:bookmarkStart w:id="12" w:name="_MON_1483849479"/>
      <w:bookmarkStart w:id="13" w:name="_MON_1483849530"/>
      <w:bookmarkStart w:id="14" w:name="_MON_1484113199"/>
      <w:bookmarkStart w:id="15" w:name="_MON_1514973763"/>
      <w:bookmarkStart w:id="16" w:name="_MON_1514974183"/>
      <w:bookmarkStart w:id="17" w:name="_MON_1514976153"/>
      <w:bookmarkStart w:id="18" w:name="_MON_1514976260"/>
      <w:bookmarkStart w:id="19" w:name="_MON_1514976676"/>
      <w:bookmarkStart w:id="20" w:name="_MON_1421817280"/>
      <w:bookmarkStart w:id="21" w:name="_MON_1421818033"/>
      <w:bookmarkStart w:id="22" w:name="_MON_1421818135"/>
      <w:bookmarkStart w:id="23" w:name="_MON_1421818217"/>
      <w:bookmarkStart w:id="24" w:name="_MON_1421818295"/>
      <w:bookmarkStart w:id="25" w:name="_MON_14221608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C03BF" w:rsidRDefault="006C03BF" w:rsidP="00AE5CA0">
      <w:pPr>
        <w:jc w:val="both"/>
      </w:pPr>
    </w:p>
    <w:p w:rsidR="00256F5C" w:rsidRDefault="00994655" w:rsidP="00AE5CA0">
      <w:pPr>
        <w:jc w:val="both"/>
        <w:rPr>
          <w:b/>
        </w:rPr>
      </w:pPr>
      <w:r w:rsidRPr="00994655">
        <w:rPr>
          <w:b/>
          <w:highlight w:val="yellow"/>
        </w:rPr>
        <w:t>BILJEŠKE UZ</w:t>
      </w:r>
      <w:r>
        <w:rPr>
          <w:b/>
          <w:highlight w:val="yellow"/>
        </w:rPr>
        <w:t xml:space="preserve"> IZVJEŠTAJ</w:t>
      </w:r>
      <w:r w:rsidRPr="00994655">
        <w:rPr>
          <w:b/>
          <w:highlight w:val="yellow"/>
        </w:rPr>
        <w:t xml:space="preserve"> RAS </w:t>
      </w:r>
      <w:r>
        <w:rPr>
          <w:b/>
          <w:highlight w:val="yellow"/>
        </w:rPr>
        <w:t>–</w:t>
      </w:r>
      <w:r w:rsidRPr="00994655">
        <w:rPr>
          <w:b/>
          <w:highlight w:val="yellow"/>
        </w:rPr>
        <w:t xml:space="preserve"> funkcijski</w:t>
      </w:r>
    </w:p>
    <w:p w:rsidR="00994655" w:rsidRDefault="00994655" w:rsidP="00AE5CA0">
      <w:pPr>
        <w:jc w:val="both"/>
        <w:rPr>
          <w:b/>
        </w:rPr>
      </w:pPr>
    </w:p>
    <w:p w:rsidR="00994655" w:rsidRDefault="00EF5889" w:rsidP="00AE5CA0">
      <w:pPr>
        <w:jc w:val="both"/>
        <w:rPr>
          <w:b/>
          <w:u w:val="single"/>
        </w:rPr>
      </w:pPr>
      <w:r>
        <w:rPr>
          <w:b/>
          <w:u w:val="single"/>
        </w:rPr>
        <w:t xml:space="preserve">Bilješka br. 1 Šifra 096 </w:t>
      </w:r>
      <w:r w:rsidR="00994655" w:rsidRPr="00994655">
        <w:rPr>
          <w:b/>
          <w:u w:val="single"/>
        </w:rPr>
        <w:t xml:space="preserve">- </w:t>
      </w:r>
      <w:r w:rsidR="00E030C5">
        <w:rPr>
          <w:b/>
          <w:u w:val="single"/>
        </w:rPr>
        <w:t>Dodatne usluge u obrazovanju</w:t>
      </w:r>
    </w:p>
    <w:p w:rsidR="00994655" w:rsidRDefault="00994655" w:rsidP="00AE5CA0">
      <w:pPr>
        <w:jc w:val="both"/>
        <w:rPr>
          <w:b/>
          <w:u w:val="single"/>
        </w:rPr>
      </w:pPr>
    </w:p>
    <w:p w:rsidR="00994655" w:rsidRDefault="00CE48F4" w:rsidP="006C03BF">
      <w:pPr>
        <w:jc w:val="both"/>
      </w:pPr>
      <w:r>
        <w:t>Odnosi se na š</w:t>
      </w:r>
      <w:r w:rsidR="00994655" w:rsidRPr="00994655">
        <w:t>kolsk</w:t>
      </w:r>
      <w:r>
        <w:t>u kuhinju</w:t>
      </w:r>
      <w:r w:rsidR="00994655" w:rsidRPr="00994655">
        <w:t xml:space="preserve"> redovn</w:t>
      </w:r>
      <w:r>
        <w:t>u</w:t>
      </w:r>
      <w:r w:rsidR="00994655" w:rsidRPr="00994655">
        <w:t xml:space="preserve"> i u sklopu produženog boravka</w:t>
      </w:r>
      <w:r>
        <w:t>.</w:t>
      </w:r>
      <w:r w:rsidR="00994655" w:rsidRPr="00994655">
        <w:t xml:space="preserve"> </w:t>
      </w:r>
    </w:p>
    <w:p w:rsidR="00CE48F4" w:rsidRDefault="00994655" w:rsidP="00C659A0">
      <w:pPr>
        <w:jc w:val="both"/>
      </w:pPr>
      <w:r>
        <w:t xml:space="preserve">U odnosu na prošlu godinu došlo je do </w:t>
      </w:r>
      <w:r w:rsidR="00CE48F4">
        <w:t>povećanja</w:t>
      </w:r>
      <w:r>
        <w:t xml:space="preserve"> radi </w:t>
      </w:r>
      <w:r w:rsidR="00EF5889">
        <w:t>veće cijene navedenih usluga.</w:t>
      </w:r>
      <w:r w:rsidR="00AD3162">
        <w:t xml:space="preserve"> Trošak dodatne usluge u obrazovanju u 2022.g su iznosile 652.097,97 kn  dok je u 2021.g trošak iznosio 483.061,00 kn što čini povećanje.</w:t>
      </w:r>
    </w:p>
    <w:p w:rsidR="00C659A0" w:rsidRDefault="00C659A0" w:rsidP="00C659A0">
      <w:pPr>
        <w:jc w:val="both"/>
      </w:pPr>
    </w:p>
    <w:p w:rsidR="00C659A0" w:rsidRDefault="00C659A0" w:rsidP="00C659A0">
      <w:pPr>
        <w:jc w:val="both"/>
      </w:pPr>
    </w:p>
    <w:p w:rsidR="00C659A0" w:rsidRDefault="00C659A0" w:rsidP="00C659A0">
      <w:pPr>
        <w:jc w:val="both"/>
      </w:pPr>
    </w:p>
    <w:p w:rsidR="00C659A0" w:rsidRDefault="00C659A0" w:rsidP="00C659A0">
      <w:pPr>
        <w:jc w:val="both"/>
      </w:pPr>
    </w:p>
    <w:p w:rsidR="00C659A0" w:rsidRDefault="00C659A0" w:rsidP="00C659A0">
      <w:pPr>
        <w:jc w:val="both"/>
      </w:pPr>
    </w:p>
    <w:p w:rsidR="00C659A0" w:rsidRDefault="00C659A0" w:rsidP="00C659A0">
      <w:pPr>
        <w:jc w:val="both"/>
      </w:pPr>
    </w:p>
    <w:p w:rsidR="00AB5CAD" w:rsidRDefault="00AB5CAD" w:rsidP="00AB3AF5"/>
    <w:p w:rsidR="00CE48F4" w:rsidRDefault="00256F5C" w:rsidP="00AE5CA0">
      <w:pPr>
        <w:jc w:val="both"/>
        <w:rPr>
          <w:b/>
        </w:rPr>
      </w:pPr>
      <w:r w:rsidRPr="00256F5C">
        <w:rPr>
          <w:b/>
          <w:highlight w:val="yellow"/>
        </w:rPr>
        <w:lastRenderedPageBreak/>
        <w:t>BILJEŠKE UZ IZVJEŠTAJ O OBVEZAMA</w:t>
      </w:r>
    </w:p>
    <w:p w:rsidR="009F51DB" w:rsidRDefault="009F51DB" w:rsidP="00AE5CA0">
      <w:pPr>
        <w:jc w:val="both"/>
        <w:rPr>
          <w:b/>
        </w:rPr>
      </w:pPr>
    </w:p>
    <w:p w:rsidR="009F51DB" w:rsidRDefault="009F51DB" w:rsidP="00AE5CA0">
      <w:pPr>
        <w:jc w:val="both"/>
        <w:rPr>
          <w:b/>
          <w:u w:val="single"/>
        </w:rPr>
      </w:pPr>
      <w:r w:rsidRPr="009F51DB">
        <w:rPr>
          <w:b/>
          <w:u w:val="single"/>
        </w:rPr>
        <w:t>Bilješka br. 1 Šifra V007 - Stanje dospjelih obveza na kraju izvještajnog razdoblja</w:t>
      </w:r>
    </w:p>
    <w:p w:rsidR="00AC1CBB" w:rsidRDefault="00AC1CBB" w:rsidP="00AE5CA0">
      <w:pPr>
        <w:jc w:val="both"/>
        <w:rPr>
          <w:b/>
          <w:u w:val="single"/>
        </w:rPr>
      </w:pPr>
    </w:p>
    <w:p w:rsidR="009F51DB" w:rsidRDefault="00B91228" w:rsidP="00D960F9">
      <w:pPr>
        <w:jc w:val="both"/>
      </w:pPr>
      <w:r>
        <w:t xml:space="preserve">Stanje dospjelih obveza na kraju izvještajnog razdoblja iznosi 10.336,78 kn. Odnosi se na račune </w:t>
      </w:r>
      <w:r w:rsidR="000737AF">
        <w:t xml:space="preserve">za redovne materijalne troškove. </w:t>
      </w:r>
      <w:r w:rsidR="007E2C02">
        <w:t xml:space="preserve">Kašnjenje u plaćanju računa iznosi od 1 do 60 dana. Niže je dan tabelarni prikaz s iznosima računima i datumom </w:t>
      </w:r>
      <w:r w:rsidR="00224E46">
        <w:t>dospijeća</w:t>
      </w:r>
      <w:r w:rsidR="007E2C02">
        <w:t>.</w:t>
      </w:r>
    </w:p>
    <w:p w:rsidR="00A24C2F" w:rsidRDefault="00A24C2F" w:rsidP="00D960F9">
      <w:pPr>
        <w:jc w:val="both"/>
      </w:pPr>
    </w:p>
    <w:tbl>
      <w:tblPr>
        <w:tblW w:w="6300" w:type="dxa"/>
        <w:tblLook w:val="04A0" w:firstRow="1" w:lastRow="0" w:firstColumn="1" w:lastColumn="0" w:noHBand="0" w:noVBand="1"/>
      </w:tblPr>
      <w:tblGrid>
        <w:gridCol w:w="2263"/>
        <w:gridCol w:w="1937"/>
        <w:gridCol w:w="2100"/>
      </w:tblGrid>
      <w:tr w:rsidR="00D960F9" w:rsidRPr="00D960F9" w:rsidTr="00D960F9">
        <w:trPr>
          <w:trHeight w:val="288"/>
        </w:trPr>
        <w:tc>
          <w:tcPr>
            <w:tcW w:w="22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960F9" w:rsidRPr="00D960F9" w:rsidRDefault="00D960F9" w:rsidP="00D960F9">
            <w:pPr>
              <w:jc w:val="center"/>
              <w:rPr>
                <w:rFonts w:ascii="Calibri" w:hAnsi="Calibri" w:cs="Calibri"/>
                <w:b/>
                <w:bCs/>
                <w:color w:val="000000"/>
                <w:sz w:val="22"/>
                <w:szCs w:val="22"/>
              </w:rPr>
            </w:pPr>
            <w:r w:rsidRPr="00D960F9">
              <w:rPr>
                <w:rFonts w:ascii="Calibri" w:hAnsi="Calibri" w:cs="Calibri"/>
                <w:b/>
                <w:bCs/>
                <w:color w:val="000000"/>
                <w:sz w:val="22"/>
                <w:szCs w:val="22"/>
              </w:rPr>
              <w:t>DOBAVLJAČ</w:t>
            </w:r>
          </w:p>
        </w:tc>
        <w:tc>
          <w:tcPr>
            <w:tcW w:w="1937" w:type="dxa"/>
            <w:tcBorders>
              <w:top w:val="single" w:sz="4" w:space="0" w:color="auto"/>
              <w:left w:val="nil"/>
              <w:bottom w:val="single" w:sz="4" w:space="0" w:color="auto"/>
              <w:right w:val="single" w:sz="4" w:space="0" w:color="auto"/>
            </w:tcBorders>
            <w:shd w:val="clear" w:color="000000" w:fill="F2F2F2"/>
            <w:noWrap/>
            <w:vAlign w:val="bottom"/>
            <w:hideMark/>
          </w:tcPr>
          <w:p w:rsidR="00D960F9" w:rsidRPr="00D960F9" w:rsidRDefault="00D960F9" w:rsidP="00D960F9">
            <w:pPr>
              <w:jc w:val="center"/>
              <w:rPr>
                <w:rFonts w:ascii="Calibri" w:hAnsi="Calibri" w:cs="Calibri"/>
                <w:b/>
                <w:bCs/>
                <w:color w:val="000000"/>
                <w:sz w:val="22"/>
                <w:szCs w:val="22"/>
              </w:rPr>
            </w:pPr>
            <w:r w:rsidRPr="00D960F9">
              <w:rPr>
                <w:rFonts w:ascii="Calibri" w:hAnsi="Calibri" w:cs="Calibri"/>
                <w:b/>
                <w:bCs/>
                <w:color w:val="000000"/>
                <w:sz w:val="22"/>
                <w:szCs w:val="22"/>
              </w:rPr>
              <w:t>IZNOS</w:t>
            </w:r>
          </w:p>
        </w:tc>
        <w:tc>
          <w:tcPr>
            <w:tcW w:w="2100" w:type="dxa"/>
            <w:tcBorders>
              <w:top w:val="single" w:sz="4" w:space="0" w:color="auto"/>
              <w:left w:val="nil"/>
              <w:bottom w:val="single" w:sz="4" w:space="0" w:color="auto"/>
              <w:right w:val="single" w:sz="4" w:space="0" w:color="auto"/>
            </w:tcBorders>
            <w:shd w:val="clear" w:color="000000" w:fill="F2F2F2"/>
            <w:noWrap/>
            <w:vAlign w:val="bottom"/>
            <w:hideMark/>
          </w:tcPr>
          <w:p w:rsidR="00D960F9" w:rsidRPr="00D960F9" w:rsidRDefault="00D960F9" w:rsidP="00D960F9">
            <w:pPr>
              <w:jc w:val="center"/>
              <w:rPr>
                <w:rFonts w:ascii="Calibri" w:hAnsi="Calibri" w:cs="Calibri"/>
                <w:b/>
                <w:bCs/>
                <w:color w:val="000000"/>
                <w:sz w:val="22"/>
                <w:szCs w:val="22"/>
              </w:rPr>
            </w:pPr>
            <w:r w:rsidRPr="00D960F9">
              <w:rPr>
                <w:rFonts w:ascii="Calibri" w:hAnsi="Calibri" w:cs="Calibri"/>
                <w:b/>
                <w:bCs/>
                <w:color w:val="000000"/>
                <w:sz w:val="22"/>
                <w:szCs w:val="22"/>
              </w:rPr>
              <w:t>DATUM DOSPIJEĆA</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Razlika računa iz 2021.</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0,02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 </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Ledo plus d.o.o.</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1.210,00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27.12.2022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Vindija</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2.052,54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30.12.2022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Mlin i pekare d.o.o.</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20,00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24.11.2022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KTC d.d.</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2.515,22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28.12.2022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Vindija</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416,83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28.12.2022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HRT</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240,00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31.12.2022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proofErr w:type="spellStart"/>
            <w:r w:rsidRPr="00D960F9">
              <w:rPr>
                <w:rFonts w:ascii="Calibri" w:hAnsi="Calibri" w:cs="Calibri"/>
                <w:color w:val="000000"/>
                <w:sz w:val="22"/>
                <w:szCs w:val="22"/>
              </w:rPr>
              <w:t>Probus</w:t>
            </w:r>
            <w:proofErr w:type="spellEnd"/>
            <w:r w:rsidRPr="00D960F9">
              <w:rPr>
                <w:rFonts w:ascii="Calibri" w:hAnsi="Calibri" w:cs="Calibri"/>
                <w:color w:val="000000"/>
                <w:sz w:val="22"/>
                <w:szCs w:val="22"/>
              </w:rPr>
              <w:t xml:space="preserve"> K.I.G. d.o.o.</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546,88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23.12.2022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proofErr w:type="spellStart"/>
            <w:r w:rsidRPr="00D960F9">
              <w:rPr>
                <w:rFonts w:ascii="Calibri" w:hAnsi="Calibri" w:cs="Calibri"/>
                <w:color w:val="000000"/>
                <w:sz w:val="22"/>
                <w:szCs w:val="22"/>
              </w:rPr>
              <w:t>Konica</w:t>
            </w:r>
            <w:proofErr w:type="spellEnd"/>
            <w:r w:rsidRPr="00D960F9">
              <w:rPr>
                <w:rFonts w:ascii="Calibri" w:hAnsi="Calibri" w:cs="Calibri"/>
                <w:color w:val="000000"/>
                <w:sz w:val="22"/>
                <w:szCs w:val="22"/>
              </w:rPr>
              <w:t xml:space="preserve"> </w:t>
            </w:r>
            <w:proofErr w:type="spellStart"/>
            <w:r w:rsidRPr="00D960F9">
              <w:rPr>
                <w:rFonts w:ascii="Calibri" w:hAnsi="Calibri" w:cs="Calibri"/>
                <w:color w:val="000000"/>
                <w:sz w:val="22"/>
                <w:szCs w:val="22"/>
              </w:rPr>
              <w:t>Minolta</w:t>
            </w:r>
            <w:proofErr w:type="spellEnd"/>
            <w:r w:rsidRPr="00D960F9">
              <w:rPr>
                <w:rFonts w:ascii="Calibri" w:hAnsi="Calibri" w:cs="Calibri"/>
                <w:color w:val="000000"/>
                <w:sz w:val="22"/>
                <w:szCs w:val="22"/>
              </w:rPr>
              <w:t xml:space="preserve"> d.o.o.</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437,50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15.12.2022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KF-</w:t>
            </w:r>
            <w:proofErr w:type="spellStart"/>
            <w:r w:rsidRPr="00D960F9">
              <w:rPr>
                <w:rFonts w:ascii="Calibri" w:hAnsi="Calibri" w:cs="Calibri"/>
                <w:color w:val="000000"/>
                <w:sz w:val="22"/>
                <w:szCs w:val="22"/>
              </w:rPr>
              <w:t>Interactiv</w:t>
            </w:r>
            <w:proofErr w:type="spellEnd"/>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1.250,00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31.12.2022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 xml:space="preserve">MG </w:t>
            </w:r>
            <w:proofErr w:type="spellStart"/>
            <w:r w:rsidRPr="00D960F9">
              <w:rPr>
                <w:rFonts w:ascii="Calibri" w:hAnsi="Calibri" w:cs="Calibri"/>
                <w:color w:val="000000"/>
                <w:sz w:val="22"/>
                <w:szCs w:val="22"/>
              </w:rPr>
              <w:t>Vrbanus</w:t>
            </w:r>
            <w:proofErr w:type="spellEnd"/>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531,00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22.12.2022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color w:val="000000"/>
                <w:sz w:val="22"/>
                <w:szCs w:val="22"/>
              </w:rPr>
            </w:pPr>
            <w:r w:rsidRPr="00D960F9">
              <w:rPr>
                <w:rFonts w:ascii="Calibri" w:hAnsi="Calibri" w:cs="Calibri"/>
                <w:color w:val="000000"/>
                <w:sz w:val="22"/>
                <w:szCs w:val="22"/>
              </w:rPr>
              <w:t>Gradska tržnica</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1.116,79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color w:val="000000"/>
                <w:sz w:val="22"/>
                <w:szCs w:val="22"/>
              </w:rPr>
            </w:pPr>
            <w:r w:rsidRPr="00D960F9">
              <w:rPr>
                <w:rFonts w:ascii="Calibri" w:hAnsi="Calibri" w:cs="Calibri"/>
                <w:color w:val="000000"/>
                <w:sz w:val="22"/>
                <w:szCs w:val="22"/>
              </w:rPr>
              <w:t>28.12.2022</w:t>
            </w:r>
          </w:p>
        </w:tc>
      </w:tr>
      <w:tr w:rsidR="00D960F9" w:rsidRPr="00D960F9" w:rsidTr="00D960F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b/>
                <w:bCs/>
                <w:color w:val="000000"/>
                <w:sz w:val="22"/>
                <w:szCs w:val="22"/>
              </w:rPr>
            </w:pPr>
            <w:r w:rsidRPr="00D960F9">
              <w:rPr>
                <w:rFonts w:ascii="Calibri" w:hAnsi="Calibri" w:cs="Calibri"/>
                <w:b/>
                <w:bCs/>
                <w:color w:val="000000"/>
                <w:sz w:val="22"/>
                <w:szCs w:val="22"/>
              </w:rPr>
              <w:t>UKUPNO</w:t>
            </w:r>
          </w:p>
        </w:tc>
        <w:tc>
          <w:tcPr>
            <w:tcW w:w="1937"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jc w:val="right"/>
              <w:rPr>
                <w:rFonts w:ascii="Calibri" w:hAnsi="Calibri" w:cs="Calibri"/>
                <w:b/>
                <w:bCs/>
                <w:color w:val="000000"/>
                <w:sz w:val="22"/>
                <w:szCs w:val="22"/>
              </w:rPr>
            </w:pPr>
            <w:r w:rsidRPr="00D960F9">
              <w:rPr>
                <w:rFonts w:ascii="Calibri" w:hAnsi="Calibri" w:cs="Calibri"/>
                <w:b/>
                <w:bCs/>
                <w:color w:val="000000"/>
                <w:sz w:val="22"/>
                <w:szCs w:val="22"/>
              </w:rPr>
              <w:t>10.336,78 kn</w:t>
            </w:r>
          </w:p>
        </w:tc>
        <w:tc>
          <w:tcPr>
            <w:tcW w:w="2100" w:type="dxa"/>
            <w:tcBorders>
              <w:top w:val="nil"/>
              <w:left w:val="nil"/>
              <w:bottom w:val="single" w:sz="4" w:space="0" w:color="auto"/>
              <w:right w:val="single" w:sz="4" w:space="0" w:color="auto"/>
            </w:tcBorders>
            <w:shd w:val="clear" w:color="auto" w:fill="auto"/>
            <w:noWrap/>
            <w:vAlign w:val="bottom"/>
            <w:hideMark/>
          </w:tcPr>
          <w:p w:rsidR="00D960F9" w:rsidRPr="00D960F9" w:rsidRDefault="00D960F9" w:rsidP="00D960F9">
            <w:pPr>
              <w:rPr>
                <w:rFonts w:ascii="Calibri" w:hAnsi="Calibri" w:cs="Calibri"/>
                <w:b/>
                <w:bCs/>
                <w:color w:val="000000"/>
                <w:sz w:val="22"/>
                <w:szCs w:val="22"/>
              </w:rPr>
            </w:pPr>
            <w:r w:rsidRPr="00D960F9">
              <w:rPr>
                <w:rFonts w:ascii="Calibri" w:hAnsi="Calibri" w:cs="Calibri"/>
                <w:b/>
                <w:bCs/>
                <w:color w:val="000000"/>
                <w:sz w:val="22"/>
                <w:szCs w:val="22"/>
              </w:rPr>
              <w:t> </w:t>
            </w:r>
          </w:p>
        </w:tc>
      </w:tr>
    </w:tbl>
    <w:p w:rsidR="00E71E72" w:rsidRDefault="00E71E72" w:rsidP="00AE5CA0">
      <w:pPr>
        <w:jc w:val="both"/>
      </w:pPr>
    </w:p>
    <w:p w:rsidR="00256F5C" w:rsidRPr="00260DD6" w:rsidRDefault="009F51DB" w:rsidP="00AE5CA0">
      <w:pPr>
        <w:jc w:val="both"/>
        <w:rPr>
          <w:b/>
          <w:u w:val="single"/>
        </w:rPr>
      </w:pPr>
      <w:r>
        <w:rPr>
          <w:b/>
          <w:u w:val="single"/>
        </w:rPr>
        <w:t>Bilješka br. 2 Šifra V009</w:t>
      </w:r>
      <w:r w:rsidR="00256F5C" w:rsidRPr="00260DD6">
        <w:rPr>
          <w:b/>
          <w:u w:val="single"/>
        </w:rPr>
        <w:t xml:space="preserve"> </w:t>
      </w:r>
      <w:r w:rsidR="00EF7800">
        <w:rPr>
          <w:b/>
          <w:u w:val="single"/>
        </w:rPr>
        <w:t xml:space="preserve">- </w:t>
      </w:r>
      <w:r w:rsidR="00256F5C" w:rsidRPr="00260DD6">
        <w:rPr>
          <w:b/>
          <w:u w:val="single"/>
        </w:rPr>
        <w:t>Stanje nedospjelih obveza</w:t>
      </w:r>
      <w:r w:rsidRPr="009F51DB">
        <w:rPr>
          <w:b/>
          <w:u w:val="single"/>
        </w:rPr>
        <w:t xml:space="preserve"> na kraju izvještajnog razdoblja</w:t>
      </w:r>
    </w:p>
    <w:p w:rsidR="00256F5C" w:rsidRDefault="00256F5C" w:rsidP="00AE5CA0">
      <w:pPr>
        <w:jc w:val="both"/>
        <w:rPr>
          <w:b/>
        </w:rPr>
      </w:pPr>
    </w:p>
    <w:p w:rsidR="00256F5C" w:rsidRPr="00256F5C" w:rsidRDefault="00256F5C" w:rsidP="00AC1CBB">
      <w:pPr>
        <w:jc w:val="both"/>
      </w:pPr>
      <w:r w:rsidRPr="00256F5C">
        <w:t xml:space="preserve">Stanje nedospjelih obveza na kraju izvještajnog razdoblja iznosi </w:t>
      </w:r>
      <w:r w:rsidR="009F51DB" w:rsidRPr="009F51DB">
        <w:t xml:space="preserve">1.337.554,72 </w:t>
      </w:r>
      <w:r w:rsidR="00EF7800">
        <w:t>kuna</w:t>
      </w:r>
      <w:r w:rsidR="000429BB">
        <w:t>.</w:t>
      </w:r>
    </w:p>
    <w:p w:rsidR="00256F5C" w:rsidRPr="00256F5C" w:rsidRDefault="00721C07" w:rsidP="00AC1CBB">
      <w:pPr>
        <w:jc w:val="both"/>
      </w:pPr>
      <w:r>
        <w:t>Odnosi se na plaće za 12/202</w:t>
      </w:r>
      <w:r w:rsidR="009F51DB">
        <w:t xml:space="preserve">2, </w:t>
      </w:r>
      <w:r w:rsidR="00256F5C" w:rsidRPr="00256F5C">
        <w:t>na račune koji su prispjeli nakon 31</w:t>
      </w:r>
      <w:r w:rsidR="00EF7800">
        <w:t>.12.</w:t>
      </w:r>
      <w:r w:rsidR="00474914">
        <w:t>20</w:t>
      </w:r>
      <w:r>
        <w:t>2</w:t>
      </w:r>
      <w:r w:rsidR="009F51DB">
        <w:t>2</w:t>
      </w:r>
      <w:r w:rsidR="00CE48F4">
        <w:t xml:space="preserve">. godine, a </w:t>
      </w:r>
      <w:r>
        <w:t>koji terete 202</w:t>
      </w:r>
      <w:r w:rsidR="009F51DB">
        <w:t>2</w:t>
      </w:r>
      <w:r w:rsidR="00256F5C" w:rsidRPr="00256F5C">
        <w:t>. godinu i odnose s</w:t>
      </w:r>
      <w:r w:rsidR="0054452A">
        <w:t xml:space="preserve">e na troškove prehrane učenika </w:t>
      </w:r>
      <w:r w:rsidR="00581535">
        <w:t>u školskoj</w:t>
      </w:r>
      <w:r w:rsidR="00256F5C" w:rsidRPr="00256F5C">
        <w:t xml:space="preserve"> kuhinji</w:t>
      </w:r>
    </w:p>
    <w:p w:rsidR="00256F5C" w:rsidRDefault="00256F5C" w:rsidP="00AC1CBB">
      <w:pPr>
        <w:jc w:val="both"/>
      </w:pPr>
      <w:r w:rsidRPr="00256F5C">
        <w:t>(sredstva za posebne namjene)</w:t>
      </w:r>
      <w:r w:rsidR="00CE48F4">
        <w:t xml:space="preserve">, </w:t>
      </w:r>
      <w:r w:rsidR="009F51DB">
        <w:t xml:space="preserve">na troškove prehrane učenika koji su prispjeli prije 31.12.2022., ali imaju dospijeće </w:t>
      </w:r>
      <w:r w:rsidR="00224E46">
        <w:t>u 2023. godini</w:t>
      </w:r>
      <w:r w:rsidR="009F51DB">
        <w:t xml:space="preserve">, </w:t>
      </w:r>
      <w:r w:rsidR="00CE48F4">
        <w:t>na troškove organiziranog prijevoza učenika s teškoćama u razvoju</w:t>
      </w:r>
      <w:r w:rsidR="0054452A">
        <w:t xml:space="preserve"> te na troškove režija</w:t>
      </w:r>
      <w:r w:rsidRPr="00256F5C">
        <w:t>.</w:t>
      </w:r>
      <w:r w:rsidR="00581535">
        <w:t xml:space="preserve"> Sve navedene obveze će biti plaćene prema datumu dospijeća u 2023. godini.</w:t>
      </w:r>
    </w:p>
    <w:p w:rsidR="00694322" w:rsidRDefault="00694322" w:rsidP="00694322">
      <w:pPr>
        <w:jc w:val="both"/>
      </w:pPr>
    </w:p>
    <w:tbl>
      <w:tblPr>
        <w:tblW w:w="5603" w:type="dxa"/>
        <w:tblLook w:val="04A0" w:firstRow="1" w:lastRow="0" w:firstColumn="1" w:lastColumn="0" w:noHBand="0" w:noVBand="1"/>
      </w:tblPr>
      <w:tblGrid>
        <w:gridCol w:w="3911"/>
        <w:gridCol w:w="1692"/>
      </w:tblGrid>
      <w:tr w:rsidR="00581535" w:rsidRPr="00581535" w:rsidTr="00694322">
        <w:trPr>
          <w:trHeight w:val="305"/>
        </w:trPr>
        <w:tc>
          <w:tcPr>
            <w:tcW w:w="391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81535" w:rsidRPr="00581535" w:rsidRDefault="00581535" w:rsidP="00694322">
            <w:pPr>
              <w:jc w:val="both"/>
              <w:rPr>
                <w:rFonts w:ascii="Calibri" w:hAnsi="Calibri" w:cs="Calibri"/>
                <w:b/>
                <w:bCs/>
                <w:color w:val="000000"/>
                <w:sz w:val="22"/>
                <w:szCs w:val="22"/>
              </w:rPr>
            </w:pPr>
            <w:r w:rsidRPr="00581535">
              <w:rPr>
                <w:rFonts w:ascii="Calibri" w:hAnsi="Calibri" w:cs="Calibri"/>
                <w:b/>
                <w:bCs/>
                <w:color w:val="000000"/>
                <w:sz w:val="22"/>
                <w:szCs w:val="22"/>
              </w:rPr>
              <w:t>VRSTA TROŠKA</w:t>
            </w:r>
          </w:p>
        </w:tc>
        <w:tc>
          <w:tcPr>
            <w:tcW w:w="1692" w:type="dxa"/>
            <w:tcBorders>
              <w:top w:val="single" w:sz="4" w:space="0" w:color="auto"/>
              <w:left w:val="nil"/>
              <w:bottom w:val="single" w:sz="4" w:space="0" w:color="auto"/>
              <w:right w:val="single" w:sz="4" w:space="0" w:color="auto"/>
            </w:tcBorders>
            <w:shd w:val="clear" w:color="000000" w:fill="F2F2F2"/>
            <w:noWrap/>
            <w:vAlign w:val="bottom"/>
            <w:hideMark/>
          </w:tcPr>
          <w:p w:rsidR="00581535" w:rsidRPr="00581535" w:rsidRDefault="00581535" w:rsidP="00694322">
            <w:pPr>
              <w:jc w:val="both"/>
              <w:rPr>
                <w:rFonts w:ascii="Calibri" w:hAnsi="Calibri" w:cs="Calibri"/>
                <w:b/>
                <w:bCs/>
                <w:color w:val="000000"/>
                <w:sz w:val="22"/>
                <w:szCs w:val="22"/>
              </w:rPr>
            </w:pPr>
            <w:r w:rsidRPr="00581535">
              <w:rPr>
                <w:rFonts w:ascii="Calibri" w:hAnsi="Calibri" w:cs="Calibri"/>
                <w:b/>
                <w:bCs/>
                <w:color w:val="000000"/>
                <w:sz w:val="22"/>
                <w:szCs w:val="22"/>
              </w:rPr>
              <w:t>IZNOS</w:t>
            </w:r>
          </w:p>
        </w:tc>
      </w:tr>
      <w:tr w:rsidR="00581535" w:rsidRPr="00581535" w:rsidTr="0069432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Plaće za 12/2022</w:t>
            </w:r>
          </w:p>
        </w:tc>
        <w:tc>
          <w:tcPr>
            <w:tcW w:w="1692" w:type="dxa"/>
            <w:tcBorders>
              <w:top w:val="nil"/>
              <w:left w:val="nil"/>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913.511,18 kn</w:t>
            </w:r>
          </w:p>
        </w:tc>
      </w:tr>
      <w:tr w:rsidR="00581535" w:rsidRPr="00581535" w:rsidTr="0069432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Režijski troškovi</w:t>
            </w:r>
          </w:p>
        </w:tc>
        <w:tc>
          <w:tcPr>
            <w:tcW w:w="1692" w:type="dxa"/>
            <w:tcBorders>
              <w:top w:val="nil"/>
              <w:left w:val="nil"/>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127.087,75 kn</w:t>
            </w:r>
          </w:p>
        </w:tc>
      </w:tr>
      <w:tr w:rsidR="00581535" w:rsidRPr="00581535" w:rsidTr="0069432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Prijevoz učenika s teškoćama u razvoju</w:t>
            </w:r>
          </w:p>
        </w:tc>
        <w:tc>
          <w:tcPr>
            <w:tcW w:w="1692" w:type="dxa"/>
            <w:tcBorders>
              <w:top w:val="nil"/>
              <w:left w:val="nil"/>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30.812,50 kn</w:t>
            </w:r>
          </w:p>
        </w:tc>
      </w:tr>
      <w:tr w:rsidR="00581535" w:rsidRPr="00581535" w:rsidTr="0069432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Ostali materijalni troškovi</w:t>
            </w:r>
          </w:p>
        </w:tc>
        <w:tc>
          <w:tcPr>
            <w:tcW w:w="1692" w:type="dxa"/>
            <w:tcBorders>
              <w:top w:val="nil"/>
              <w:left w:val="nil"/>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110.559,45 kn</w:t>
            </w:r>
          </w:p>
        </w:tc>
      </w:tr>
      <w:tr w:rsidR="00581535" w:rsidRPr="00581535" w:rsidTr="0069432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Ostale obveze - HZZO</w:t>
            </w:r>
          </w:p>
        </w:tc>
        <w:tc>
          <w:tcPr>
            <w:tcW w:w="1692" w:type="dxa"/>
            <w:tcBorders>
              <w:top w:val="nil"/>
              <w:left w:val="nil"/>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color w:val="000000"/>
                <w:sz w:val="22"/>
                <w:szCs w:val="22"/>
              </w:rPr>
            </w:pPr>
            <w:r w:rsidRPr="00581535">
              <w:rPr>
                <w:rFonts w:ascii="Calibri" w:hAnsi="Calibri" w:cs="Calibri"/>
                <w:color w:val="000000"/>
                <w:sz w:val="22"/>
                <w:szCs w:val="22"/>
              </w:rPr>
              <w:t>155.583,84 kn</w:t>
            </w:r>
          </w:p>
        </w:tc>
      </w:tr>
      <w:tr w:rsidR="00581535" w:rsidRPr="00581535" w:rsidTr="0069432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b/>
                <w:bCs/>
                <w:color w:val="000000"/>
                <w:sz w:val="22"/>
                <w:szCs w:val="22"/>
              </w:rPr>
            </w:pPr>
            <w:r w:rsidRPr="00581535">
              <w:rPr>
                <w:rFonts w:ascii="Calibri" w:hAnsi="Calibri" w:cs="Calibri"/>
                <w:b/>
                <w:bCs/>
                <w:color w:val="000000"/>
                <w:sz w:val="22"/>
                <w:szCs w:val="22"/>
              </w:rPr>
              <w:t>UKUPNO</w:t>
            </w:r>
          </w:p>
        </w:tc>
        <w:tc>
          <w:tcPr>
            <w:tcW w:w="1692" w:type="dxa"/>
            <w:tcBorders>
              <w:top w:val="nil"/>
              <w:left w:val="nil"/>
              <w:bottom w:val="single" w:sz="4" w:space="0" w:color="auto"/>
              <w:right w:val="single" w:sz="4" w:space="0" w:color="auto"/>
            </w:tcBorders>
            <w:shd w:val="clear" w:color="auto" w:fill="auto"/>
            <w:noWrap/>
            <w:vAlign w:val="bottom"/>
            <w:hideMark/>
          </w:tcPr>
          <w:p w:rsidR="00581535" w:rsidRPr="00581535" w:rsidRDefault="00581535" w:rsidP="00694322">
            <w:pPr>
              <w:jc w:val="both"/>
              <w:rPr>
                <w:rFonts w:ascii="Calibri" w:hAnsi="Calibri" w:cs="Calibri"/>
                <w:b/>
                <w:bCs/>
                <w:color w:val="000000"/>
                <w:sz w:val="22"/>
                <w:szCs w:val="22"/>
              </w:rPr>
            </w:pPr>
            <w:r w:rsidRPr="00581535">
              <w:rPr>
                <w:rFonts w:ascii="Calibri" w:hAnsi="Calibri" w:cs="Calibri"/>
                <w:b/>
                <w:bCs/>
                <w:color w:val="000000"/>
                <w:sz w:val="22"/>
                <w:szCs w:val="22"/>
              </w:rPr>
              <w:t>1.337.554,72 kn</w:t>
            </w:r>
          </w:p>
        </w:tc>
      </w:tr>
    </w:tbl>
    <w:p w:rsidR="00B04842" w:rsidRPr="00256F5C" w:rsidRDefault="00B04842" w:rsidP="00694322">
      <w:pPr>
        <w:jc w:val="both"/>
      </w:pPr>
    </w:p>
    <w:p w:rsidR="00474914" w:rsidRPr="00256F5C" w:rsidRDefault="00474914" w:rsidP="00AB3AF5"/>
    <w:p w:rsidR="00B04842" w:rsidRDefault="00256F5C" w:rsidP="00694322">
      <w:pPr>
        <w:jc w:val="both"/>
      </w:pPr>
      <w:r w:rsidRPr="00256F5C">
        <w:t xml:space="preserve">Sisak, </w:t>
      </w:r>
      <w:r w:rsidR="00AC1CBB">
        <w:t>30</w:t>
      </w:r>
      <w:r w:rsidR="0054452A">
        <w:t>.01</w:t>
      </w:r>
      <w:r w:rsidR="002948DA">
        <w:t>.202</w:t>
      </w:r>
      <w:r w:rsidR="00AC1CBB">
        <w:t>3</w:t>
      </w:r>
      <w:r w:rsidR="009E522D">
        <w:t>.</w:t>
      </w:r>
      <w:r w:rsidR="005D1124">
        <w:t>g</w:t>
      </w:r>
    </w:p>
    <w:p w:rsidR="00474914" w:rsidRDefault="00474914" w:rsidP="00694322">
      <w:pPr>
        <w:jc w:val="both"/>
      </w:pPr>
    </w:p>
    <w:p w:rsidR="00256F5C" w:rsidRPr="00256F5C" w:rsidRDefault="00256F5C" w:rsidP="00694322">
      <w:pPr>
        <w:jc w:val="both"/>
      </w:pPr>
    </w:p>
    <w:p w:rsidR="00256F5C" w:rsidRPr="00256F5C" w:rsidRDefault="00256F5C" w:rsidP="00694322">
      <w:pPr>
        <w:jc w:val="both"/>
      </w:pPr>
      <w:r w:rsidRPr="00256F5C">
        <w:t>Voditelj računovodstva:                                                           Zakonski predstavnik:</w:t>
      </w:r>
    </w:p>
    <w:p w:rsidR="00256F5C" w:rsidRDefault="00256F5C" w:rsidP="00694322">
      <w:pPr>
        <w:jc w:val="both"/>
        <w:rPr>
          <w:b/>
        </w:rPr>
      </w:pPr>
      <w:r>
        <w:rPr>
          <w:b/>
        </w:rPr>
        <w:t xml:space="preserve">     </w:t>
      </w:r>
    </w:p>
    <w:p w:rsidR="00CB31E9" w:rsidRDefault="00CB31E9" w:rsidP="00694322">
      <w:pPr>
        <w:jc w:val="both"/>
        <w:rPr>
          <w:b/>
        </w:rPr>
      </w:pPr>
    </w:p>
    <w:p w:rsidR="00256F5C" w:rsidRPr="00256F5C" w:rsidRDefault="0054452A" w:rsidP="00694322">
      <w:pPr>
        <w:jc w:val="both"/>
      </w:pPr>
      <w:r>
        <w:t xml:space="preserve">Ivana </w:t>
      </w:r>
      <w:proofErr w:type="spellStart"/>
      <w:r>
        <w:t>Tačković</w:t>
      </w:r>
      <w:proofErr w:type="spellEnd"/>
      <w:r>
        <w:t xml:space="preserve"> Herceg </w:t>
      </w:r>
      <w:r>
        <w:tab/>
      </w:r>
      <w:r>
        <w:tab/>
      </w:r>
      <w:r>
        <w:tab/>
      </w:r>
      <w:r>
        <w:tab/>
      </w:r>
      <w:r>
        <w:tab/>
        <w:t xml:space="preserve">   </w:t>
      </w:r>
      <w:r w:rsidR="00256F5C" w:rsidRPr="00256F5C">
        <w:t>Azra Rađenović</w:t>
      </w:r>
    </w:p>
    <w:sectPr w:rsidR="00256F5C" w:rsidRPr="00256F5C" w:rsidSect="007D5E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4232"/>
    <w:multiLevelType w:val="hybridMultilevel"/>
    <w:tmpl w:val="AA309302"/>
    <w:lvl w:ilvl="0" w:tplc="C102E7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FB41313"/>
    <w:multiLevelType w:val="hybridMultilevel"/>
    <w:tmpl w:val="9BCC6256"/>
    <w:lvl w:ilvl="0" w:tplc="47E225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CE5DC5"/>
    <w:multiLevelType w:val="hybridMultilevel"/>
    <w:tmpl w:val="B726A386"/>
    <w:lvl w:ilvl="0" w:tplc="1F9A9F9C">
      <w:start w:val="20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0D"/>
    <w:rsid w:val="0003091C"/>
    <w:rsid w:val="0003305A"/>
    <w:rsid w:val="000368DD"/>
    <w:rsid w:val="000429BB"/>
    <w:rsid w:val="0005110E"/>
    <w:rsid w:val="00064C43"/>
    <w:rsid w:val="000737AF"/>
    <w:rsid w:val="00090A78"/>
    <w:rsid w:val="000A20CE"/>
    <w:rsid w:val="000D27B5"/>
    <w:rsid w:val="000F2605"/>
    <w:rsid w:val="000F4D7A"/>
    <w:rsid w:val="00131B26"/>
    <w:rsid w:val="00155513"/>
    <w:rsid w:val="0015581B"/>
    <w:rsid w:val="00185851"/>
    <w:rsid w:val="001876A3"/>
    <w:rsid w:val="00190A13"/>
    <w:rsid w:val="001A1BE1"/>
    <w:rsid w:val="001B36BA"/>
    <w:rsid w:val="001C0692"/>
    <w:rsid w:val="001D1F10"/>
    <w:rsid w:val="001D24C1"/>
    <w:rsid w:val="00216805"/>
    <w:rsid w:val="002208DC"/>
    <w:rsid w:val="0022362A"/>
    <w:rsid w:val="00223B6B"/>
    <w:rsid w:val="00224E46"/>
    <w:rsid w:val="00241915"/>
    <w:rsid w:val="00254992"/>
    <w:rsid w:val="00256F5C"/>
    <w:rsid w:val="00260DD6"/>
    <w:rsid w:val="00261452"/>
    <w:rsid w:val="002948DA"/>
    <w:rsid w:val="0029702C"/>
    <w:rsid w:val="002A61C8"/>
    <w:rsid w:val="002C2304"/>
    <w:rsid w:val="002D241F"/>
    <w:rsid w:val="002D76E7"/>
    <w:rsid w:val="002E30F2"/>
    <w:rsid w:val="002E4EA5"/>
    <w:rsid w:val="002F247F"/>
    <w:rsid w:val="003112D8"/>
    <w:rsid w:val="00333EAC"/>
    <w:rsid w:val="003402A9"/>
    <w:rsid w:val="00350EB5"/>
    <w:rsid w:val="003563A3"/>
    <w:rsid w:val="0035669B"/>
    <w:rsid w:val="0036315B"/>
    <w:rsid w:val="00367DA9"/>
    <w:rsid w:val="003857D6"/>
    <w:rsid w:val="003B4F3E"/>
    <w:rsid w:val="003E4D90"/>
    <w:rsid w:val="003F483F"/>
    <w:rsid w:val="003F593F"/>
    <w:rsid w:val="00421154"/>
    <w:rsid w:val="00432123"/>
    <w:rsid w:val="0043554D"/>
    <w:rsid w:val="0045420C"/>
    <w:rsid w:val="00461643"/>
    <w:rsid w:val="004715E3"/>
    <w:rsid w:val="00474914"/>
    <w:rsid w:val="004825CE"/>
    <w:rsid w:val="004E1F36"/>
    <w:rsid w:val="00502993"/>
    <w:rsid w:val="005132E8"/>
    <w:rsid w:val="0053253F"/>
    <w:rsid w:val="00532A09"/>
    <w:rsid w:val="005379F1"/>
    <w:rsid w:val="0054452A"/>
    <w:rsid w:val="00567E19"/>
    <w:rsid w:val="00577C0F"/>
    <w:rsid w:val="00581535"/>
    <w:rsid w:val="00593BB7"/>
    <w:rsid w:val="005C27EA"/>
    <w:rsid w:val="005C4D20"/>
    <w:rsid w:val="005D1124"/>
    <w:rsid w:val="005D161E"/>
    <w:rsid w:val="005F6A3E"/>
    <w:rsid w:val="00603231"/>
    <w:rsid w:val="00617D84"/>
    <w:rsid w:val="00633C4D"/>
    <w:rsid w:val="0065583C"/>
    <w:rsid w:val="00671286"/>
    <w:rsid w:val="00694322"/>
    <w:rsid w:val="006A5E2C"/>
    <w:rsid w:val="006A6D0D"/>
    <w:rsid w:val="006C03BF"/>
    <w:rsid w:val="006C2759"/>
    <w:rsid w:val="006D04D9"/>
    <w:rsid w:val="006F007F"/>
    <w:rsid w:val="006F7325"/>
    <w:rsid w:val="00721C07"/>
    <w:rsid w:val="00753B6A"/>
    <w:rsid w:val="0077366E"/>
    <w:rsid w:val="0079358D"/>
    <w:rsid w:val="007A34C2"/>
    <w:rsid w:val="007B5069"/>
    <w:rsid w:val="007D5E71"/>
    <w:rsid w:val="007E2C02"/>
    <w:rsid w:val="00821D26"/>
    <w:rsid w:val="008309D9"/>
    <w:rsid w:val="00831BAE"/>
    <w:rsid w:val="008413F0"/>
    <w:rsid w:val="00867575"/>
    <w:rsid w:val="00871333"/>
    <w:rsid w:val="008758FD"/>
    <w:rsid w:val="00882AE6"/>
    <w:rsid w:val="00892F05"/>
    <w:rsid w:val="008C1A82"/>
    <w:rsid w:val="008E654D"/>
    <w:rsid w:val="008F0166"/>
    <w:rsid w:val="00910E9F"/>
    <w:rsid w:val="00916DDE"/>
    <w:rsid w:val="00947274"/>
    <w:rsid w:val="00994655"/>
    <w:rsid w:val="0099650D"/>
    <w:rsid w:val="009B27EB"/>
    <w:rsid w:val="009C23C0"/>
    <w:rsid w:val="009D2335"/>
    <w:rsid w:val="009E522D"/>
    <w:rsid w:val="009F51DB"/>
    <w:rsid w:val="009F6D4D"/>
    <w:rsid w:val="00A06E52"/>
    <w:rsid w:val="00A24C2F"/>
    <w:rsid w:val="00A26135"/>
    <w:rsid w:val="00A26218"/>
    <w:rsid w:val="00A30F0D"/>
    <w:rsid w:val="00A402ED"/>
    <w:rsid w:val="00A42293"/>
    <w:rsid w:val="00A55A1C"/>
    <w:rsid w:val="00AA1FAE"/>
    <w:rsid w:val="00AB0E0C"/>
    <w:rsid w:val="00AB3AF5"/>
    <w:rsid w:val="00AB5CAD"/>
    <w:rsid w:val="00AC1CBB"/>
    <w:rsid w:val="00AD3162"/>
    <w:rsid w:val="00AD47F5"/>
    <w:rsid w:val="00AD4D56"/>
    <w:rsid w:val="00AE0409"/>
    <w:rsid w:val="00AE5CA0"/>
    <w:rsid w:val="00AE7907"/>
    <w:rsid w:val="00B04842"/>
    <w:rsid w:val="00B104BB"/>
    <w:rsid w:val="00B11037"/>
    <w:rsid w:val="00B26456"/>
    <w:rsid w:val="00B33DD0"/>
    <w:rsid w:val="00B35345"/>
    <w:rsid w:val="00B366C7"/>
    <w:rsid w:val="00B45550"/>
    <w:rsid w:val="00B466A8"/>
    <w:rsid w:val="00B56052"/>
    <w:rsid w:val="00B91228"/>
    <w:rsid w:val="00B91EA7"/>
    <w:rsid w:val="00BB180E"/>
    <w:rsid w:val="00BC2E1A"/>
    <w:rsid w:val="00BE000D"/>
    <w:rsid w:val="00BE0FF1"/>
    <w:rsid w:val="00C0521F"/>
    <w:rsid w:val="00C60046"/>
    <w:rsid w:val="00C659A0"/>
    <w:rsid w:val="00C70086"/>
    <w:rsid w:val="00C84740"/>
    <w:rsid w:val="00CB2536"/>
    <w:rsid w:val="00CB31E9"/>
    <w:rsid w:val="00CB385B"/>
    <w:rsid w:val="00CE48F4"/>
    <w:rsid w:val="00CE5391"/>
    <w:rsid w:val="00CF7E6A"/>
    <w:rsid w:val="00D141F1"/>
    <w:rsid w:val="00D22A41"/>
    <w:rsid w:val="00D232E0"/>
    <w:rsid w:val="00D6012D"/>
    <w:rsid w:val="00D62B11"/>
    <w:rsid w:val="00D7618A"/>
    <w:rsid w:val="00D80349"/>
    <w:rsid w:val="00D901C0"/>
    <w:rsid w:val="00D960F9"/>
    <w:rsid w:val="00DD2415"/>
    <w:rsid w:val="00DE1026"/>
    <w:rsid w:val="00DE5F24"/>
    <w:rsid w:val="00E030C5"/>
    <w:rsid w:val="00E2467E"/>
    <w:rsid w:val="00E32D2F"/>
    <w:rsid w:val="00E34573"/>
    <w:rsid w:val="00E51D3A"/>
    <w:rsid w:val="00E71E72"/>
    <w:rsid w:val="00E9052B"/>
    <w:rsid w:val="00E95407"/>
    <w:rsid w:val="00EB5520"/>
    <w:rsid w:val="00ED240F"/>
    <w:rsid w:val="00ED27D7"/>
    <w:rsid w:val="00ED2E08"/>
    <w:rsid w:val="00ED67EC"/>
    <w:rsid w:val="00EE6BAF"/>
    <w:rsid w:val="00EF15EA"/>
    <w:rsid w:val="00EF340E"/>
    <w:rsid w:val="00EF5889"/>
    <w:rsid w:val="00EF7800"/>
    <w:rsid w:val="00F3093A"/>
    <w:rsid w:val="00F36D4D"/>
    <w:rsid w:val="00F5730E"/>
    <w:rsid w:val="00F61962"/>
    <w:rsid w:val="00F65648"/>
    <w:rsid w:val="00F6706C"/>
    <w:rsid w:val="00FE133D"/>
    <w:rsid w:val="00FE7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196C2-70F0-4424-86DF-2BFF16F1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0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2A9"/>
    <w:pPr>
      <w:ind w:left="720"/>
      <w:contextualSpacing/>
    </w:pPr>
  </w:style>
  <w:style w:type="paragraph" w:styleId="Tekstbalonia">
    <w:name w:val="Balloon Text"/>
    <w:basedOn w:val="Normal"/>
    <w:link w:val="TekstbaloniaChar"/>
    <w:uiPriority w:val="99"/>
    <w:semiHidden/>
    <w:unhideWhenUsed/>
    <w:rsid w:val="00190A1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90A1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2468">
      <w:bodyDiv w:val="1"/>
      <w:marLeft w:val="0"/>
      <w:marRight w:val="0"/>
      <w:marTop w:val="0"/>
      <w:marBottom w:val="0"/>
      <w:divBdr>
        <w:top w:val="none" w:sz="0" w:space="0" w:color="auto"/>
        <w:left w:val="none" w:sz="0" w:space="0" w:color="auto"/>
        <w:bottom w:val="none" w:sz="0" w:space="0" w:color="auto"/>
        <w:right w:val="none" w:sz="0" w:space="0" w:color="auto"/>
      </w:divBdr>
    </w:div>
    <w:div w:id="194388770">
      <w:bodyDiv w:val="1"/>
      <w:marLeft w:val="0"/>
      <w:marRight w:val="0"/>
      <w:marTop w:val="0"/>
      <w:marBottom w:val="0"/>
      <w:divBdr>
        <w:top w:val="none" w:sz="0" w:space="0" w:color="auto"/>
        <w:left w:val="none" w:sz="0" w:space="0" w:color="auto"/>
        <w:bottom w:val="none" w:sz="0" w:space="0" w:color="auto"/>
        <w:right w:val="none" w:sz="0" w:space="0" w:color="auto"/>
      </w:divBdr>
    </w:div>
    <w:div w:id="232207724">
      <w:bodyDiv w:val="1"/>
      <w:marLeft w:val="0"/>
      <w:marRight w:val="0"/>
      <w:marTop w:val="0"/>
      <w:marBottom w:val="0"/>
      <w:divBdr>
        <w:top w:val="none" w:sz="0" w:space="0" w:color="auto"/>
        <w:left w:val="none" w:sz="0" w:space="0" w:color="auto"/>
        <w:bottom w:val="none" w:sz="0" w:space="0" w:color="auto"/>
        <w:right w:val="none" w:sz="0" w:space="0" w:color="auto"/>
      </w:divBdr>
    </w:div>
    <w:div w:id="256863116">
      <w:bodyDiv w:val="1"/>
      <w:marLeft w:val="0"/>
      <w:marRight w:val="0"/>
      <w:marTop w:val="0"/>
      <w:marBottom w:val="0"/>
      <w:divBdr>
        <w:top w:val="none" w:sz="0" w:space="0" w:color="auto"/>
        <w:left w:val="none" w:sz="0" w:space="0" w:color="auto"/>
        <w:bottom w:val="none" w:sz="0" w:space="0" w:color="auto"/>
        <w:right w:val="none" w:sz="0" w:space="0" w:color="auto"/>
      </w:divBdr>
    </w:div>
    <w:div w:id="293487922">
      <w:bodyDiv w:val="1"/>
      <w:marLeft w:val="0"/>
      <w:marRight w:val="0"/>
      <w:marTop w:val="0"/>
      <w:marBottom w:val="0"/>
      <w:divBdr>
        <w:top w:val="none" w:sz="0" w:space="0" w:color="auto"/>
        <w:left w:val="none" w:sz="0" w:space="0" w:color="auto"/>
        <w:bottom w:val="none" w:sz="0" w:space="0" w:color="auto"/>
        <w:right w:val="none" w:sz="0" w:space="0" w:color="auto"/>
      </w:divBdr>
    </w:div>
    <w:div w:id="303589244">
      <w:bodyDiv w:val="1"/>
      <w:marLeft w:val="0"/>
      <w:marRight w:val="0"/>
      <w:marTop w:val="0"/>
      <w:marBottom w:val="0"/>
      <w:divBdr>
        <w:top w:val="none" w:sz="0" w:space="0" w:color="auto"/>
        <w:left w:val="none" w:sz="0" w:space="0" w:color="auto"/>
        <w:bottom w:val="none" w:sz="0" w:space="0" w:color="auto"/>
        <w:right w:val="none" w:sz="0" w:space="0" w:color="auto"/>
      </w:divBdr>
    </w:div>
    <w:div w:id="311250110">
      <w:bodyDiv w:val="1"/>
      <w:marLeft w:val="0"/>
      <w:marRight w:val="0"/>
      <w:marTop w:val="0"/>
      <w:marBottom w:val="0"/>
      <w:divBdr>
        <w:top w:val="none" w:sz="0" w:space="0" w:color="auto"/>
        <w:left w:val="none" w:sz="0" w:space="0" w:color="auto"/>
        <w:bottom w:val="none" w:sz="0" w:space="0" w:color="auto"/>
        <w:right w:val="none" w:sz="0" w:space="0" w:color="auto"/>
      </w:divBdr>
    </w:div>
    <w:div w:id="375201609">
      <w:bodyDiv w:val="1"/>
      <w:marLeft w:val="0"/>
      <w:marRight w:val="0"/>
      <w:marTop w:val="0"/>
      <w:marBottom w:val="0"/>
      <w:divBdr>
        <w:top w:val="none" w:sz="0" w:space="0" w:color="auto"/>
        <w:left w:val="none" w:sz="0" w:space="0" w:color="auto"/>
        <w:bottom w:val="none" w:sz="0" w:space="0" w:color="auto"/>
        <w:right w:val="none" w:sz="0" w:space="0" w:color="auto"/>
      </w:divBdr>
    </w:div>
    <w:div w:id="426845968">
      <w:bodyDiv w:val="1"/>
      <w:marLeft w:val="0"/>
      <w:marRight w:val="0"/>
      <w:marTop w:val="0"/>
      <w:marBottom w:val="0"/>
      <w:divBdr>
        <w:top w:val="none" w:sz="0" w:space="0" w:color="auto"/>
        <w:left w:val="none" w:sz="0" w:space="0" w:color="auto"/>
        <w:bottom w:val="none" w:sz="0" w:space="0" w:color="auto"/>
        <w:right w:val="none" w:sz="0" w:space="0" w:color="auto"/>
      </w:divBdr>
    </w:div>
    <w:div w:id="452330490">
      <w:bodyDiv w:val="1"/>
      <w:marLeft w:val="0"/>
      <w:marRight w:val="0"/>
      <w:marTop w:val="0"/>
      <w:marBottom w:val="0"/>
      <w:divBdr>
        <w:top w:val="none" w:sz="0" w:space="0" w:color="auto"/>
        <w:left w:val="none" w:sz="0" w:space="0" w:color="auto"/>
        <w:bottom w:val="none" w:sz="0" w:space="0" w:color="auto"/>
        <w:right w:val="none" w:sz="0" w:space="0" w:color="auto"/>
      </w:divBdr>
    </w:div>
    <w:div w:id="744884873">
      <w:bodyDiv w:val="1"/>
      <w:marLeft w:val="0"/>
      <w:marRight w:val="0"/>
      <w:marTop w:val="0"/>
      <w:marBottom w:val="0"/>
      <w:divBdr>
        <w:top w:val="none" w:sz="0" w:space="0" w:color="auto"/>
        <w:left w:val="none" w:sz="0" w:space="0" w:color="auto"/>
        <w:bottom w:val="none" w:sz="0" w:space="0" w:color="auto"/>
        <w:right w:val="none" w:sz="0" w:space="0" w:color="auto"/>
      </w:divBdr>
    </w:div>
    <w:div w:id="773553249">
      <w:bodyDiv w:val="1"/>
      <w:marLeft w:val="0"/>
      <w:marRight w:val="0"/>
      <w:marTop w:val="0"/>
      <w:marBottom w:val="0"/>
      <w:divBdr>
        <w:top w:val="none" w:sz="0" w:space="0" w:color="auto"/>
        <w:left w:val="none" w:sz="0" w:space="0" w:color="auto"/>
        <w:bottom w:val="none" w:sz="0" w:space="0" w:color="auto"/>
        <w:right w:val="none" w:sz="0" w:space="0" w:color="auto"/>
      </w:divBdr>
    </w:div>
    <w:div w:id="826240283">
      <w:bodyDiv w:val="1"/>
      <w:marLeft w:val="0"/>
      <w:marRight w:val="0"/>
      <w:marTop w:val="0"/>
      <w:marBottom w:val="0"/>
      <w:divBdr>
        <w:top w:val="none" w:sz="0" w:space="0" w:color="auto"/>
        <w:left w:val="none" w:sz="0" w:space="0" w:color="auto"/>
        <w:bottom w:val="none" w:sz="0" w:space="0" w:color="auto"/>
        <w:right w:val="none" w:sz="0" w:space="0" w:color="auto"/>
      </w:divBdr>
    </w:div>
    <w:div w:id="889462227">
      <w:bodyDiv w:val="1"/>
      <w:marLeft w:val="0"/>
      <w:marRight w:val="0"/>
      <w:marTop w:val="0"/>
      <w:marBottom w:val="0"/>
      <w:divBdr>
        <w:top w:val="none" w:sz="0" w:space="0" w:color="auto"/>
        <w:left w:val="none" w:sz="0" w:space="0" w:color="auto"/>
        <w:bottom w:val="none" w:sz="0" w:space="0" w:color="auto"/>
        <w:right w:val="none" w:sz="0" w:space="0" w:color="auto"/>
      </w:divBdr>
    </w:div>
    <w:div w:id="1006371486">
      <w:bodyDiv w:val="1"/>
      <w:marLeft w:val="0"/>
      <w:marRight w:val="0"/>
      <w:marTop w:val="0"/>
      <w:marBottom w:val="0"/>
      <w:divBdr>
        <w:top w:val="none" w:sz="0" w:space="0" w:color="auto"/>
        <w:left w:val="none" w:sz="0" w:space="0" w:color="auto"/>
        <w:bottom w:val="none" w:sz="0" w:space="0" w:color="auto"/>
        <w:right w:val="none" w:sz="0" w:space="0" w:color="auto"/>
      </w:divBdr>
    </w:div>
    <w:div w:id="1129788612">
      <w:bodyDiv w:val="1"/>
      <w:marLeft w:val="0"/>
      <w:marRight w:val="0"/>
      <w:marTop w:val="0"/>
      <w:marBottom w:val="0"/>
      <w:divBdr>
        <w:top w:val="none" w:sz="0" w:space="0" w:color="auto"/>
        <w:left w:val="none" w:sz="0" w:space="0" w:color="auto"/>
        <w:bottom w:val="none" w:sz="0" w:space="0" w:color="auto"/>
        <w:right w:val="none" w:sz="0" w:space="0" w:color="auto"/>
      </w:divBdr>
    </w:div>
    <w:div w:id="1133719435">
      <w:bodyDiv w:val="1"/>
      <w:marLeft w:val="0"/>
      <w:marRight w:val="0"/>
      <w:marTop w:val="0"/>
      <w:marBottom w:val="0"/>
      <w:divBdr>
        <w:top w:val="none" w:sz="0" w:space="0" w:color="auto"/>
        <w:left w:val="none" w:sz="0" w:space="0" w:color="auto"/>
        <w:bottom w:val="none" w:sz="0" w:space="0" w:color="auto"/>
        <w:right w:val="none" w:sz="0" w:space="0" w:color="auto"/>
      </w:divBdr>
    </w:div>
    <w:div w:id="1164977348">
      <w:bodyDiv w:val="1"/>
      <w:marLeft w:val="0"/>
      <w:marRight w:val="0"/>
      <w:marTop w:val="0"/>
      <w:marBottom w:val="0"/>
      <w:divBdr>
        <w:top w:val="none" w:sz="0" w:space="0" w:color="auto"/>
        <w:left w:val="none" w:sz="0" w:space="0" w:color="auto"/>
        <w:bottom w:val="none" w:sz="0" w:space="0" w:color="auto"/>
        <w:right w:val="none" w:sz="0" w:space="0" w:color="auto"/>
      </w:divBdr>
    </w:div>
    <w:div w:id="1219122704">
      <w:bodyDiv w:val="1"/>
      <w:marLeft w:val="0"/>
      <w:marRight w:val="0"/>
      <w:marTop w:val="0"/>
      <w:marBottom w:val="0"/>
      <w:divBdr>
        <w:top w:val="none" w:sz="0" w:space="0" w:color="auto"/>
        <w:left w:val="none" w:sz="0" w:space="0" w:color="auto"/>
        <w:bottom w:val="none" w:sz="0" w:space="0" w:color="auto"/>
        <w:right w:val="none" w:sz="0" w:space="0" w:color="auto"/>
      </w:divBdr>
    </w:div>
    <w:div w:id="1258518608">
      <w:bodyDiv w:val="1"/>
      <w:marLeft w:val="0"/>
      <w:marRight w:val="0"/>
      <w:marTop w:val="0"/>
      <w:marBottom w:val="0"/>
      <w:divBdr>
        <w:top w:val="none" w:sz="0" w:space="0" w:color="auto"/>
        <w:left w:val="none" w:sz="0" w:space="0" w:color="auto"/>
        <w:bottom w:val="none" w:sz="0" w:space="0" w:color="auto"/>
        <w:right w:val="none" w:sz="0" w:space="0" w:color="auto"/>
      </w:divBdr>
    </w:div>
    <w:div w:id="1260531350">
      <w:bodyDiv w:val="1"/>
      <w:marLeft w:val="0"/>
      <w:marRight w:val="0"/>
      <w:marTop w:val="0"/>
      <w:marBottom w:val="0"/>
      <w:divBdr>
        <w:top w:val="none" w:sz="0" w:space="0" w:color="auto"/>
        <w:left w:val="none" w:sz="0" w:space="0" w:color="auto"/>
        <w:bottom w:val="none" w:sz="0" w:space="0" w:color="auto"/>
        <w:right w:val="none" w:sz="0" w:space="0" w:color="auto"/>
      </w:divBdr>
    </w:div>
    <w:div w:id="1282415283">
      <w:bodyDiv w:val="1"/>
      <w:marLeft w:val="0"/>
      <w:marRight w:val="0"/>
      <w:marTop w:val="0"/>
      <w:marBottom w:val="0"/>
      <w:divBdr>
        <w:top w:val="none" w:sz="0" w:space="0" w:color="auto"/>
        <w:left w:val="none" w:sz="0" w:space="0" w:color="auto"/>
        <w:bottom w:val="none" w:sz="0" w:space="0" w:color="auto"/>
        <w:right w:val="none" w:sz="0" w:space="0" w:color="auto"/>
      </w:divBdr>
    </w:div>
    <w:div w:id="1352955973">
      <w:bodyDiv w:val="1"/>
      <w:marLeft w:val="0"/>
      <w:marRight w:val="0"/>
      <w:marTop w:val="0"/>
      <w:marBottom w:val="0"/>
      <w:divBdr>
        <w:top w:val="none" w:sz="0" w:space="0" w:color="auto"/>
        <w:left w:val="none" w:sz="0" w:space="0" w:color="auto"/>
        <w:bottom w:val="none" w:sz="0" w:space="0" w:color="auto"/>
        <w:right w:val="none" w:sz="0" w:space="0" w:color="auto"/>
      </w:divBdr>
    </w:div>
    <w:div w:id="1371300339">
      <w:bodyDiv w:val="1"/>
      <w:marLeft w:val="0"/>
      <w:marRight w:val="0"/>
      <w:marTop w:val="0"/>
      <w:marBottom w:val="0"/>
      <w:divBdr>
        <w:top w:val="none" w:sz="0" w:space="0" w:color="auto"/>
        <w:left w:val="none" w:sz="0" w:space="0" w:color="auto"/>
        <w:bottom w:val="none" w:sz="0" w:space="0" w:color="auto"/>
        <w:right w:val="none" w:sz="0" w:space="0" w:color="auto"/>
      </w:divBdr>
    </w:div>
    <w:div w:id="1371802410">
      <w:bodyDiv w:val="1"/>
      <w:marLeft w:val="0"/>
      <w:marRight w:val="0"/>
      <w:marTop w:val="0"/>
      <w:marBottom w:val="0"/>
      <w:divBdr>
        <w:top w:val="none" w:sz="0" w:space="0" w:color="auto"/>
        <w:left w:val="none" w:sz="0" w:space="0" w:color="auto"/>
        <w:bottom w:val="none" w:sz="0" w:space="0" w:color="auto"/>
        <w:right w:val="none" w:sz="0" w:space="0" w:color="auto"/>
      </w:divBdr>
    </w:div>
    <w:div w:id="1555963297">
      <w:bodyDiv w:val="1"/>
      <w:marLeft w:val="0"/>
      <w:marRight w:val="0"/>
      <w:marTop w:val="0"/>
      <w:marBottom w:val="0"/>
      <w:divBdr>
        <w:top w:val="none" w:sz="0" w:space="0" w:color="auto"/>
        <w:left w:val="none" w:sz="0" w:space="0" w:color="auto"/>
        <w:bottom w:val="none" w:sz="0" w:space="0" w:color="auto"/>
        <w:right w:val="none" w:sz="0" w:space="0" w:color="auto"/>
      </w:divBdr>
    </w:div>
    <w:div w:id="1626161243">
      <w:bodyDiv w:val="1"/>
      <w:marLeft w:val="0"/>
      <w:marRight w:val="0"/>
      <w:marTop w:val="0"/>
      <w:marBottom w:val="0"/>
      <w:divBdr>
        <w:top w:val="none" w:sz="0" w:space="0" w:color="auto"/>
        <w:left w:val="none" w:sz="0" w:space="0" w:color="auto"/>
        <w:bottom w:val="none" w:sz="0" w:space="0" w:color="auto"/>
        <w:right w:val="none" w:sz="0" w:space="0" w:color="auto"/>
      </w:divBdr>
    </w:div>
    <w:div w:id="1640913552">
      <w:bodyDiv w:val="1"/>
      <w:marLeft w:val="0"/>
      <w:marRight w:val="0"/>
      <w:marTop w:val="0"/>
      <w:marBottom w:val="0"/>
      <w:divBdr>
        <w:top w:val="none" w:sz="0" w:space="0" w:color="auto"/>
        <w:left w:val="none" w:sz="0" w:space="0" w:color="auto"/>
        <w:bottom w:val="none" w:sz="0" w:space="0" w:color="auto"/>
        <w:right w:val="none" w:sz="0" w:space="0" w:color="auto"/>
      </w:divBdr>
    </w:div>
    <w:div w:id="1674334270">
      <w:bodyDiv w:val="1"/>
      <w:marLeft w:val="0"/>
      <w:marRight w:val="0"/>
      <w:marTop w:val="0"/>
      <w:marBottom w:val="0"/>
      <w:divBdr>
        <w:top w:val="none" w:sz="0" w:space="0" w:color="auto"/>
        <w:left w:val="none" w:sz="0" w:space="0" w:color="auto"/>
        <w:bottom w:val="none" w:sz="0" w:space="0" w:color="auto"/>
        <w:right w:val="none" w:sz="0" w:space="0" w:color="auto"/>
      </w:divBdr>
    </w:div>
    <w:div w:id="1710491216">
      <w:bodyDiv w:val="1"/>
      <w:marLeft w:val="0"/>
      <w:marRight w:val="0"/>
      <w:marTop w:val="0"/>
      <w:marBottom w:val="0"/>
      <w:divBdr>
        <w:top w:val="none" w:sz="0" w:space="0" w:color="auto"/>
        <w:left w:val="none" w:sz="0" w:space="0" w:color="auto"/>
        <w:bottom w:val="none" w:sz="0" w:space="0" w:color="auto"/>
        <w:right w:val="none" w:sz="0" w:space="0" w:color="auto"/>
      </w:divBdr>
    </w:div>
    <w:div w:id="1802109855">
      <w:bodyDiv w:val="1"/>
      <w:marLeft w:val="0"/>
      <w:marRight w:val="0"/>
      <w:marTop w:val="0"/>
      <w:marBottom w:val="0"/>
      <w:divBdr>
        <w:top w:val="none" w:sz="0" w:space="0" w:color="auto"/>
        <w:left w:val="none" w:sz="0" w:space="0" w:color="auto"/>
        <w:bottom w:val="none" w:sz="0" w:space="0" w:color="auto"/>
        <w:right w:val="none" w:sz="0" w:space="0" w:color="auto"/>
      </w:divBdr>
    </w:div>
    <w:div w:id="1806779932">
      <w:bodyDiv w:val="1"/>
      <w:marLeft w:val="0"/>
      <w:marRight w:val="0"/>
      <w:marTop w:val="0"/>
      <w:marBottom w:val="0"/>
      <w:divBdr>
        <w:top w:val="none" w:sz="0" w:space="0" w:color="auto"/>
        <w:left w:val="none" w:sz="0" w:space="0" w:color="auto"/>
        <w:bottom w:val="none" w:sz="0" w:space="0" w:color="auto"/>
        <w:right w:val="none" w:sz="0" w:space="0" w:color="auto"/>
      </w:divBdr>
    </w:div>
    <w:div w:id="1807354940">
      <w:bodyDiv w:val="1"/>
      <w:marLeft w:val="0"/>
      <w:marRight w:val="0"/>
      <w:marTop w:val="0"/>
      <w:marBottom w:val="0"/>
      <w:divBdr>
        <w:top w:val="none" w:sz="0" w:space="0" w:color="auto"/>
        <w:left w:val="none" w:sz="0" w:space="0" w:color="auto"/>
        <w:bottom w:val="none" w:sz="0" w:space="0" w:color="auto"/>
        <w:right w:val="none" w:sz="0" w:space="0" w:color="auto"/>
      </w:divBdr>
    </w:div>
    <w:div w:id="1833911391">
      <w:bodyDiv w:val="1"/>
      <w:marLeft w:val="0"/>
      <w:marRight w:val="0"/>
      <w:marTop w:val="0"/>
      <w:marBottom w:val="0"/>
      <w:divBdr>
        <w:top w:val="none" w:sz="0" w:space="0" w:color="auto"/>
        <w:left w:val="none" w:sz="0" w:space="0" w:color="auto"/>
        <w:bottom w:val="none" w:sz="0" w:space="0" w:color="auto"/>
        <w:right w:val="none" w:sz="0" w:space="0" w:color="auto"/>
      </w:divBdr>
    </w:div>
    <w:div w:id="1839342552">
      <w:bodyDiv w:val="1"/>
      <w:marLeft w:val="0"/>
      <w:marRight w:val="0"/>
      <w:marTop w:val="0"/>
      <w:marBottom w:val="0"/>
      <w:divBdr>
        <w:top w:val="none" w:sz="0" w:space="0" w:color="auto"/>
        <w:left w:val="none" w:sz="0" w:space="0" w:color="auto"/>
        <w:bottom w:val="none" w:sz="0" w:space="0" w:color="auto"/>
        <w:right w:val="none" w:sz="0" w:space="0" w:color="auto"/>
      </w:divBdr>
    </w:div>
    <w:div w:id="1921134761">
      <w:bodyDiv w:val="1"/>
      <w:marLeft w:val="0"/>
      <w:marRight w:val="0"/>
      <w:marTop w:val="0"/>
      <w:marBottom w:val="0"/>
      <w:divBdr>
        <w:top w:val="none" w:sz="0" w:space="0" w:color="auto"/>
        <w:left w:val="none" w:sz="0" w:space="0" w:color="auto"/>
        <w:bottom w:val="none" w:sz="0" w:space="0" w:color="auto"/>
        <w:right w:val="none" w:sz="0" w:space="0" w:color="auto"/>
      </w:divBdr>
    </w:div>
    <w:div w:id="1925339732">
      <w:bodyDiv w:val="1"/>
      <w:marLeft w:val="0"/>
      <w:marRight w:val="0"/>
      <w:marTop w:val="0"/>
      <w:marBottom w:val="0"/>
      <w:divBdr>
        <w:top w:val="none" w:sz="0" w:space="0" w:color="auto"/>
        <w:left w:val="none" w:sz="0" w:space="0" w:color="auto"/>
        <w:bottom w:val="none" w:sz="0" w:space="0" w:color="auto"/>
        <w:right w:val="none" w:sz="0" w:space="0" w:color="auto"/>
      </w:divBdr>
    </w:div>
    <w:div w:id="1929535042">
      <w:bodyDiv w:val="1"/>
      <w:marLeft w:val="0"/>
      <w:marRight w:val="0"/>
      <w:marTop w:val="0"/>
      <w:marBottom w:val="0"/>
      <w:divBdr>
        <w:top w:val="none" w:sz="0" w:space="0" w:color="auto"/>
        <w:left w:val="none" w:sz="0" w:space="0" w:color="auto"/>
        <w:bottom w:val="none" w:sz="0" w:space="0" w:color="auto"/>
        <w:right w:val="none" w:sz="0" w:space="0" w:color="auto"/>
      </w:divBdr>
    </w:div>
    <w:div w:id="1961303648">
      <w:bodyDiv w:val="1"/>
      <w:marLeft w:val="0"/>
      <w:marRight w:val="0"/>
      <w:marTop w:val="0"/>
      <w:marBottom w:val="0"/>
      <w:divBdr>
        <w:top w:val="none" w:sz="0" w:space="0" w:color="auto"/>
        <w:left w:val="none" w:sz="0" w:space="0" w:color="auto"/>
        <w:bottom w:val="none" w:sz="0" w:space="0" w:color="auto"/>
        <w:right w:val="none" w:sz="0" w:space="0" w:color="auto"/>
      </w:divBdr>
    </w:div>
    <w:div w:id="2018265098">
      <w:bodyDiv w:val="1"/>
      <w:marLeft w:val="0"/>
      <w:marRight w:val="0"/>
      <w:marTop w:val="0"/>
      <w:marBottom w:val="0"/>
      <w:divBdr>
        <w:top w:val="none" w:sz="0" w:space="0" w:color="auto"/>
        <w:left w:val="none" w:sz="0" w:space="0" w:color="auto"/>
        <w:bottom w:val="none" w:sz="0" w:space="0" w:color="auto"/>
        <w:right w:val="none" w:sz="0" w:space="0" w:color="auto"/>
      </w:divBdr>
    </w:div>
    <w:div w:id="2033024783">
      <w:bodyDiv w:val="1"/>
      <w:marLeft w:val="0"/>
      <w:marRight w:val="0"/>
      <w:marTop w:val="0"/>
      <w:marBottom w:val="0"/>
      <w:divBdr>
        <w:top w:val="none" w:sz="0" w:space="0" w:color="auto"/>
        <w:left w:val="none" w:sz="0" w:space="0" w:color="auto"/>
        <w:bottom w:val="none" w:sz="0" w:space="0" w:color="auto"/>
        <w:right w:val="none" w:sz="0" w:space="0" w:color="auto"/>
      </w:divBdr>
    </w:div>
    <w:div w:id="2034527777">
      <w:bodyDiv w:val="1"/>
      <w:marLeft w:val="0"/>
      <w:marRight w:val="0"/>
      <w:marTop w:val="0"/>
      <w:marBottom w:val="0"/>
      <w:divBdr>
        <w:top w:val="none" w:sz="0" w:space="0" w:color="auto"/>
        <w:left w:val="none" w:sz="0" w:space="0" w:color="auto"/>
        <w:bottom w:val="none" w:sz="0" w:space="0" w:color="auto"/>
        <w:right w:val="none" w:sz="0" w:space="0" w:color="auto"/>
      </w:divBdr>
    </w:div>
    <w:div w:id="2056812392">
      <w:bodyDiv w:val="1"/>
      <w:marLeft w:val="0"/>
      <w:marRight w:val="0"/>
      <w:marTop w:val="0"/>
      <w:marBottom w:val="0"/>
      <w:divBdr>
        <w:top w:val="none" w:sz="0" w:space="0" w:color="auto"/>
        <w:left w:val="none" w:sz="0" w:space="0" w:color="auto"/>
        <w:bottom w:val="none" w:sz="0" w:space="0" w:color="auto"/>
        <w:right w:val="none" w:sz="0" w:space="0" w:color="auto"/>
      </w:divBdr>
    </w:div>
    <w:div w:id="21099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12075</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Tačković Herceg</dc:creator>
  <cp:keywords/>
  <dc:description/>
  <cp:lastModifiedBy>Windows korisnik</cp:lastModifiedBy>
  <cp:revision>2</cp:revision>
  <cp:lastPrinted>2022-01-28T10:53:00Z</cp:lastPrinted>
  <dcterms:created xsi:type="dcterms:W3CDTF">2023-02-08T12:24:00Z</dcterms:created>
  <dcterms:modified xsi:type="dcterms:W3CDTF">2023-02-08T12:24:00Z</dcterms:modified>
</cp:coreProperties>
</file>